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7381" w14:textId="77777777" w:rsidR="0012472D" w:rsidRDefault="0012472D">
      <w:pPr>
        <w:pStyle w:val="BodyText"/>
        <w:spacing w:before="121"/>
        <w:rPr>
          <w:rFonts w:ascii="Times New Roman"/>
          <w:sz w:val="52"/>
        </w:rPr>
      </w:pPr>
    </w:p>
    <w:p w14:paraId="0C7EF0D6" w14:textId="36BA7A1E" w:rsidR="0012472D" w:rsidRPr="00B71E05" w:rsidRDefault="00A7512C">
      <w:pPr>
        <w:pStyle w:val="Heading1"/>
      </w:pPr>
      <w:r w:rsidRPr="00B71E05">
        <w:rPr>
          <w:w w:val="90"/>
          <w:sz w:val="51"/>
        </w:rPr>
        <w:t xml:space="preserve">Zaļās atslēgas kritēriji un </w:t>
      </w:r>
      <w:r w:rsidR="00785018" w:rsidRPr="00B71E05">
        <w:rPr>
          <w:spacing w:val="-2"/>
          <w:w w:val="90"/>
          <w:sz w:val="51"/>
        </w:rPr>
        <w:t>ieviešanas vadlīnijas</w:t>
      </w:r>
    </w:p>
    <w:p w14:paraId="05C0B6FE" w14:textId="64AC2CF4" w:rsidR="00785018" w:rsidRPr="00B71E05" w:rsidRDefault="00785018" w:rsidP="00785018">
      <w:pPr>
        <w:pStyle w:val="Heading2"/>
        <w:spacing w:line="501" w:lineRule="auto"/>
        <w:ind w:left="0"/>
        <w:rPr>
          <w:sz w:val="39"/>
        </w:rPr>
      </w:pPr>
      <w:r w:rsidRPr="00B71E05">
        <w:rPr>
          <w:sz w:val="39"/>
        </w:rPr>
        <w:t xml:space="preserve">                 2026. gada 1. oktobris – 2031. gada 31.</w:t>
      </w:r>
      <w:r w:rsidR="00CA0054">
        <w:rPr>
          <w:sz w:val="39"/>
        </w:rPr>
        <w:t> </w:t>
      </w:r>
      <w:r w:rsidRPr="00B71E05">
        <w:rPr>
          <w:sz w:val="39"/>
        </w:rPr>
        <w:t>decembris</w:t>
      </w:r>
    </w:p>
    <w:p w14:paraId="312293B0" w14:textId="77777777" w:rsidR="00AD6C45" w:rsidRPr="00B71E05" w:rsidRDefault="00954E94">
      <w:pPr>
        <w:pStyle w:val="Heading2"/>
        <w:spacing w:line="501" w:lineRule="auto"/>
        <w:rPr>
          <w:spacing w:val="-2"/>
          <w:sz w:val="39"/>
        </w:rPr>
      </w:pPr>
      <w:r w:rsidRPr="00B71E05">
        <w:rPr>
          <w:spacing w:val="-2"/>
          <w:sz w:val="39"/>
        </w:rPr>
        <w:t>Glosārijs</w:t>
      </w:r>
      <w:r w:rsidR="00AD6C45" w:rsidRPr="00B71E05">
        <w:rPr>
          <w:spacing w:val="-2"/>
          <w:sz w:val="39"/>
        </w:rPr>
        <w:t xml:space="preserve"> </w:t>
      </w:r>
    </w:p>
    <w:p w14:paraId="7CE9F477" w14:textId="09202470" w:rsidR="0012472D" w:rsidRPr="00B71E05" w:rsidRDefault="00AD6C45">
      <w:pPr>
        <w:pStyle w:val="Heading2"/>
        <w:spacing w:line="501" w:lineRule="auto"/>
      </w:pPr>
      <w:r w:rsidRPr="00B71E05">
        <w:rPr>
          <w:spacing w:val="-2"/>
          <w:sz w:val="39"/>
        </w:rPr>
        <w:t>(izmantoto terminu un definīciju vārdnīca)</w:t>
      </w:r>
    </w:p>
    <w:p w14:paraId="3654784F" w14:textId="77777777" w:rsidR="0012472D" w:rsidRPr="00B71E05" w:rsidRDefault="00A7512C">
      <w:pPr>
        <w:pStyle w:val="BodyText"/>
        <w:spacing w:before="8"/>
        <w:rPr>
          <w:b/>
          <w:sz w:val="8"/>
        </w:rPr>
      </w:pPr>
      <w:r w:rsidRPr="00B71E05">
        <w:rPr>
          <w:b/>
          <w:noProof/>
          <w:sz w:val="8"/>
        </w:rPr>
        <w:drawing>
          <wp:anchor distT="0" distB="0" distL="0" distR="0" simplePos="0" relativeHeight="251658240" behindDoc="1" locked="0" layoutInCell="1" allowOverlap="1" wp14:anchorId="73435EB3" wp14:editId="7A94F10F">
            <wp:simplePos x="0" y="0"/>
            <wp:positionH relativeFrom="page">
              <wp:posOffset>4486909</wp:posOffset>
            </wp:positionH>
            <wp:positionV relativeFrom="paragraph">
              <wp:posOffset>78781</wp:posOffset>
            </wp:positionV>
            <wp:extent cx="1723709" cy="2184273"/>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23709" cy="2184273"/>
                    </a:xfrm>
                    <a:prstGeom prst="rect">
                      <a:avLst/>
                    </a:prstGeom>
                  </pic:spPr>
                </pic:pic>
              </a:graphicData>
            </a:graphic>
          </wp:anchor>
        </w:drawing>
      </w:r>
    </w:p>
    <w:p w14:paraId="61984AEF" w14:textId="4FA7B511" w:rsidR="0012472D" w:rsidRDefault="000B7A37" w:rsidP="000B7A37">
      <w:pPr>
        <w:jc w:val="both"/>
        <w:rPr>
          <w:sz w:val="20"/>
          <w:szCs w:val="20"/>
        </w:rPr>
      </w:pPr>
      <w:r w:rsidRPr="000B7A37">
        <w:rPr>
          <w:sz w:val="20"/>
          <w:szCs w:val="20"/>
        </w:rPr>
        <w:t>Šis dokuments ir oficiālais nacionālais tulkojums Zaļās Atslēgas starptautisko kritēriju un ieviešanas vadlīniju dokumentācijai 2026-2031. gada periodam. Tas ir oficiāli pārbaudīts un apstiprināts, nodrošinot konsekvenci ar publiskoto starptautisko oficiālo versiju. Šaubu vai interpretācijas viedokļu atšķirības gadījumā prevalē formulējumi publiskotajā kritēriju starptautiskajā dokumentācijā angļu valodā.</w:t>
      </w:r>
    </w:p>
    <w:p w14:paraId="559E62F2" w14:textId="77777777" w:rsidR="000B7A37" w:rsidRPr="000B7A37" w:rsidRDefault="000B7A37" w:rsidP="000B7A37">
      <w:pPr>
        <w:jc w:val="both"/>
        <w:rPr>
          <w:sz w:val="20"/>
          <w:szCs w:val="20"/>
        </w:rPr>
      </w:pPr>
    </w:p>
    <w:p w14:paraId="2A7FA3AB" w14:textId="539D5EA9" w:rsidR="0012472D" w:rsidRPr="000B7A37" w:rsidRDefault="00A7512C" w:rsidP="000B7A37">
      <w:pPr>
        <w:pStyle w:val="BodyText"/>
        <w:spacing w:line="249" w:lineRule="auto"/>
        <w:ind w:right="86"/>
        <w:jc w:val="both"/>
      </w:pPr>
      <w:r w:rsidRPr="000B7A37">
        <w:t xml:space="preserve">Šajā </w:t>
      </w:r>
      <w:r w:rsidR="00954E94" w:rsidRPr="000B7A37">
        <w:t>dokumentā</w:t>
      </w:r>
      <w:r w:rsidRPr="000B7A37">
        <w:t xml:space="preserve"> ir sniegt</w:t>
      </w:r>
      <w:r w:rsidR="00CC4852" w:rsidRPr="000B7A37">
        <w:t>as definīcijas un skaidrojumi</w:t>
      </w:r>
      <w:r w:rsidRPr="000B7A37">
        <w:t xml:space="preserve"> galven</w:t>
      </w:r>
      <w:r w:rsidR="00CC4852" w:rsidRPr="000B7A37">
        <w:t xml:space="preserve">ajiem Zaļās Atslēgas kritēriju katalogā atrodamajiem </w:t>
      </w:r>
      <w:r w:rsidR="00CC4852" w:rsidRPr="000B7A37">
        <w:rPr>
          <w:b/>
          <w:bCs/>
        </w:rPr>
        <w:t>terminiem un jēdzieniem</w:t>
      </w:r>
      <w:r w:rsidRPr="000B7A37">
        <w:t xml:space="preserve">. Šo definīciju mērķis ir veicināt vienotu </w:t>
      </w:r>
      <w:r w:rsidR="00CC4852" w:rsidRPr="000B7A37">
        <w:t xml:space="preserve">kritēriju un programmas prasību </w:t>
      </w:r>
      <w:r w:rsidRPr="000B7A37">
        <w:t>interpretāciju, īstenošanu un auditu visās valstīs un visiem uzņēmumu veidiem.</w:t>
      </w:r>
    </w:p>
    <w:p w14:paraId="7DB69FB9" w14:textId="77777777" w:rsidR="0012472D" w:rsidRPr="00B71E05" w:rsidRDefault="0012472D">
      <w:pPr>
        <w:pStyle w:val="BodyText"/>
        <w:spacing w:line="249" w:lineRule="auto"/>
        <w:sectPr w:rsidR="0012472D" w:rsidRPr="00B71E05">
          <w:type w:val="continuous"/>
          <w:pgSz w:w="16840" w:h="11910" w:orient="landscape"/>
          <w:pgMar w:top="1340" w:right="1275" w:bottom="280" w:left="1275" w:header="708" w:footer="708" w:gutter="0"/>
          <w:cols w:space="708"/>
        </w:sectPr>
      </w:pPr>
    </w:p>
    <w:p w14:paraId="621A7CC8" w14:textId="0CFF5B83" w:rsidR="0012472D" w:rsidRPr="00560B1B" w:rsidRDefault="00CC4852">
      <w:pPr>
        <w:pStyle w:val="BodyText"/>
        <w:spacing w:before="79" w:line="249" w:lineRule="auto"/>
        <w:ind w:left="140" w:right="121"/>
        <w:jc w:val="both"/>
      </w:pPr>
      <w:r w:rsidRPr="00560B1B">
        <w:rPr>
          <w:b/>
          <w:u w:val="single"/>
        </w:rPr>
        <w:lastRenderedPageBreak/>
        <w:t>Vietas ar augstu ūdens patēriņu</w:t>
      </w:r>
      <w:r w:rsidR="00560B1B" w:rsidRPr="00560B1B">
        <w:rPr>
          <w:b/>
          <w:u w:val="single"/>
        </w:rPr>
        <w:t>.</w:t>
      </w:r>
      <w:r w:rsidRPr="00560B1B">
        <w:rPr>
          <w:b/>
        </w:rPr>
        <w:t xml:space="preserve"> </w:t>
      </w:r>
      <w:r w:rsidR="00560B1B" w:rsidRPr="00560B1B">
        <w:t>D</w:t>
      </w:r>
      <w:r w:rsidRPr="00560B1B">
        <w:t>arbības zonas, kurās ūdens patēriņš ir nepārtraukts, patēriņa daudzums ir liels (veidojot nozīmīgu daļu no uzņēmuma kopējā ūdens patēriņa, parasti virs 10–15 %) vai ūdens patēriņš ir būtisks pamatpakalpojumu sniegšanai, piemēram, virtuvēm, peldbaseiniem un spa zonām, veļas mazgāšanas telpām, ainavu apūdeņošanas sistēmām utt.</w:t>
      </w:r>
    </w:p>
    <w:p w14:paraId="2D31F92C" w14:textId="77777777" w:rsidR="0012472D" w:rsidRPr="00560B1B" w:rsidRDefault="0012472D">
      <w:pPr>
        <w:pStyle w:val="BodyText"/>
        <w:spacing w:before="12"/>
      </w:pPr>
    </w:p>
    <w:p w14:paraId="7130D1C4" w14:textId="449DE7BF" w:rsidR="0012472D" w:rsidRPr="00560B1B" w:rsidRDefault="00A7512C">
      <w:pPr>
        <w:pStyle w:val="BodyText"/>
        <w:spacing w:line="249" w:lineRule="auto"/>
        <w:ind w:left="140" w:right="115"/>
        <w:jc w:val="both"/>
      </w:pPr>
      <w:r w:rsidRPr="00560B1B">
        <w:rPr>
          <w:b/>
          <w:spacing w:val="-2"/>
          <w:u w:val="single"/>
        </w:rPr>
        <w:t>Sertifikācijas proces</w:t>
      </w:r>
      <w:r w:rsidR="00CC4852" w:rsidRPr="00560B1B">
        <w:rPr>
          <w:b/>
          <w:spacing w:val="-2"/>
          <w:u w:val="single"/>
        </w:rPr>
        <w:t>u</w:t>
      </w:r>
      <w:r w:rsidRPr="00560B1B">
        <w:rPr>
          <w:b/>
          <w:spacing w:val="-2"/>
          <w:u w:val="single"/>
        </w:rPr>
        <w:t xml:space="preserve"> rokasgrāmata</w:t>
      </w:r>
      <w:r w:rsidR="00560B1B" w:rsidRPr="00560B1B">
        <w:rPr>
          <w:b/>
          <w:spacing w:val="-2"/>
          <w:u w:val="single"/>
        </w:rPr>
        <w:t>.</w:t>
      </w:r>
      <w:r w:rsidRPr="00560B1B">
        <w:rPr>
          <w:b/>
          <w:spacing w:val="-2"/>
          <w:u w:val="single"/>
        </w:rPr>
        <w:t xml:space="preserve"> </w:t>
      </w:r>
      <w:r w:rsidR="00560B1B" w:rsidRPr="00560B1B">
        <w:rPr>
          <w:spacing w:val="-2"/>
        </w:rPr>
        <w:t>S</w:t>
      </w:r>
      <w:r w:rsidRPr="00560B1B">
        <w:rPr>
          <w:spacing w:val="-2"/>
        </w:rPr>
        <w:t xml:space="preserve">ertifikācijas procesa rokasgrāmata apraksta </w:t>
      </w:r>
      <w:r w:rsidR="00CC4852" w:rsidRPr="00560B1B">
        <w:rPr>
          <w:spacing w:val="-2"/>
        </w:rPr>
        <w:t xml:space="preserve">Zaļās atslēgas sertifikācijas </w:t>
      </w:r>
      <w:r w:rsidRPr="00560B1B">
        <w:rPr>
          <w:spacing w:val="-2"/>
        </w:rPr>
        <w:t>proces</w:t>
      </w:r>
      <w:r w:rsidR="00CC4852" w:rsidRPr="00560B1B">
        <w:rPr>
          <w:spacing w:val="-2"/>
        </w:rPr>
        <w:t xml:space="preserve">a posmus </w:t>
      </w:r>
      <w:r w:rsidR="00E33E3F" w:rsidRPr="00560B1B">
        <w:rPr>
          <w:spacing w:val="-2"/>
        </w:rPr>
        <w:t>- no</w:t>
      </w:r>
      <w:r w:rsidRPr="00560B1B">
        <w:rPr>
          <w:spacing w:val="-2"/>
        </w:rPr>
        <w:t xml:space="preserve"> </w:t>
      </w:r>
      <w:r w:rsidR="00CC4852" w:rsidRPr="00560B1B">
        <w:rPr>
          <w:spacing w:val="-2"/>
        </w:rPr>
        <w:t>sākotnējās</w:t>
      </w:r>
      <w:r w:rsidRPr="00560B1B">
        <w:rPr>
          <w:spacing w:val="-2"/>
        </w:rPr>
        <w:t xml:space="preserve"> pārbaudes</w:t>
      </w:r>
      <w:r w:rsidR="00CC4852" w:rsidRPr="00560B1B">
        <w:rPr>
          <w:spacing w:val="-2"/>
        </w:rPr>
        <w:t xml:space="preserve"> un atbalsta apmācībām</w:t>
      </w:r>
      <w:r w:rsidRPr="00560B1B">
        <w:rPr>
          <w:spacing w:val="-2"/>
        </w:rPr>
        <w:t xml:space="preserve"> līdz sertifikācijas auditam uz vietas, pārskat</w:t>
      </w:r>
      <w:r w:rsidR="00CC4852" w:rsidRPr="00560B1B">
        <w:rPr>
          <w:spacing w:val="-2"/>
        </w:rPr>
        <w:t>a procedūrām</w:t>
      </w:r>
      <w:r w:rsidRPr="00560B1B">
        <w:rPr>
          <w:spacing w:val="-2"/>
        </w:rPr>
        <w:t xml:space="preserve"> </w:t>
      </w:r>
      <w:r w:rsidRPr="00560B1B">
        <w:t>un lēmum</w:t>
      </w:r>
      <w:r w:rsidR="00CC4852" w:rsidRPr="00560B1B">
        <w:t>u</w:t>
      </w:r>
      <w:r w:rsidRPr="00560B1B">
        <w:t xml:space="preserve"> pieņemšanai, kā arī nepārtraukta</w:t>
      </w:r>
      <w:r w:rsidR="00CC4852" w:rsidRPr="00560B1B">
        <w:t>s</w:t>
      </w:r>
      <w:r w:rsidRPr="00560B1B">
        <w:t xml:space="preserve"> atbilstība</w:t>
      </w:r>
      <w:r w:rsidR="00CC4852" w:rsidRPr="00560B1B">
        <w:t xml:space="preserve">s nodrošināšanai </w:t>
      </w:r>
      <w:r w:rsidRPr="00560B1B">
        <w:t>sertifikācijas perioda laikā. Rokasgrāmata ietver informāciju par sagatavošan</w:t>
      </w:r>
      <w:r w:rsidR="00CC4852" w:rsidRPr="00560B1B">
        <w:t>os auditam</w:t>
      </w:r>
      <w:r w:rsidRPr="00560B1B">
        <w:t xml:space="preserve">, </w:t>
      </w:r>
      <w:r w:rsidR="00CC4852" w:rsidRPr="00560B1B">
        <w:t xml:space="preserve">pārbaužu </w:t>
      </w:r>
      <w:r w:rsidRPr="00560B1B">
        <w:t>metodēm, termiņiem un atbildīb</w:t>
      </w:r>
      <w:r w:rsidR="00CC4852" w:rsidRPr="00560B1B">
        <w:t>as sadalījumi</w:t>
      </w:r>
      <w:r w:rsidRPr="00560B1B">
        <w:t>. Tajā ir norādīts</w:t>
      </w:r>
      <w:r w:rsidR="00CC4852" w:rsidRPr="00560B1B">
        <w:t xml:space="preserve"> arī, </w:t>
      </w:r>
      <w:r w:rsidRPr="00560B1B">
        <w:t>kuri</w:t>
      </w:r>
      <w:r w:rsidR="00CC4852" w:rsidRPr="00560B1B">
        <w:t xml:space="preserve">em </w:t>
      </w:r>
      <w:r w:rsidRPr="00560B1B">
        <w:t>darbinieki</w:t>
      </w:r>
      <w:r w:rsidR="00CC4852" w:rsidRPr="00560B1B">
        <w:t>em</w:t>
      </w:r>
      <w:r w:rsidRPr="00560B1B">
        <w:t xml:space="preserve"> jābūt pieejamiem audita laikā.</w:t>
      </w:r>
    </w:p>
    <w:p w14:paraId="78EC42A9" w14:textId="77777777" w:rsidR="0012472D" w:rsidRPr="00560B1B" w:rsidRDefault="0012472D">
      <w:pPr>
        <w:pStyle w:val="BodyText"/>
        <w:spacing w:before="13"/>
      </w:pPr>
    </w:p>
    <w:p w14:paraId="1AC65458" w14:textId="7840FFF2" w:rsidR="0012472D" w:rsidRPr="00560B1B" w:rsidRDefault="00A7512C">
      <w:pPr>
        <w:pStyle w:val="BodyText"/>
        <w:ind w:left="140"/>
        <w:jc w:val="both"/>
      </w:pPr>
      <w:r w:rsidRPr="00560B1B">
        <w:rPr>
          <w:b/>
          <w:spacing w:val="-2"/>
          <w:u w:val="single"/>
        </w:rPr>
        <w:t>Kafijas stends</w:t>
      </w:r>
      <w:r w:rsidR="00560B1B" w:rsidRPr="00560B1B">
        <w:rPr>
          <w:spacing w:val="-2"/>
        </w:rPr>
        <w:t>. B</w:t>
      </w:r>
      <w:r w:rsidRPr="00560B1B">
        <w:rPr>
          <w:spacing w:val="-2"/>
        </w:rPr>
        <w:t xml:space="preserve">ezmaksas </w:t>
      </w:r>
      <w:r w:rsidR="00CC4852" w:rsidRPr="00560B1B">
        <w:rPr>
          <w:spacing w:val="-2"/>
        </w:rPr>
        <w:t>zona</w:t>
      </w:r>
      <w:r w:rsidRPr="00560B1B">
        <w:rPr>
          <w:spacing w:val="-2"/>
        </w:rPr>
        <w:t xml:space="preserve"> (parasti </w:t>
      </w:r>
      <w:r w:rsidR="00CC4852" w:rsidRPr="00560B1B">
        <w:rPr>
          <w:spacing w:val="-2"/>
        </w:rPr>
        <w:t xml:space="preserve">izvietota </w:t>
      </w:r>
      <w:r w:rsidRPr="00560B1B">
        <w:rPr>
          <w:spacing w:val="-2"/>
        </w:rPr>
        <w:t xml:space="preserve">viesu numuros), kurā </w:t>
      </w:r>
      <w:r w:rsidR="00CC4852" w:rsidRPr="00560B1B">
        <w:rPr>
          <w:spacing w:val="-2"/>
        </w:rPr>
        <w:t xml:space="preserve">pašu pagatavošanai </w:t>
      </w:r>
      <w:r w:rsidRPr="00560B1B">
        <w:rPr>
          <w:spacing w:val="-2"/>
        </w:rPr>
        <w:t>pieejam</w:t>
      </w:r>
      <w:r w:rsidR="00CC4852" w:rsidRPr="00560B1B">
        <w:rPr>
          <w:spacing w:val="-2"/>
        </w:rPr>
        <w:t>a</w:t>
      </w:r>
      <w:r w:rsidRPr="00560B1B">
        <w:rPr>
          <w:spacing w:val="-2"/>
        </w:rPr>
        <w:t xml:space="preserve"> tēja</w:t>
      </w:r>
      <w:r w:rsidR="00CC4852" w:rsidRPr="00560B1B">
        <w:rPr>
          <w:spacing w:val="-2"/>
        </w:rPr>
        <w:t>a</w:t>
      </w:r>
      <w:r w:rsidRPr="00560B1B">
        <w:rPr>
          <w:spacing w:val="-2"/>
        </w:rPr>
        <w:t>, kafija, cukur</w:t>
      </w:r>
      <w:r w:rsidR="00CC4852" w:rsidRPr="00560B1B">
        <w:rPr>
          <w:spacing w:val="-2"/>
        </w:rPr>
        <w:t>s, kā arī krūzes.</w:t>
      </w:r>
    </w:p>
    <w:p w14:paraId="459E6CB1" w14:textId="77777777" w:rsidR="0012472D" w:rsidRPr="00560B1B" w:rsidRDefault="0012472D">
      <w:pPr>
        <w:pStyle w:val="BodyText"/>
        <w:spacing w:before="20"/>
      </w:pPr>
    </w:p>
    <w:p w14:paraId="69BC8908" w14:textId="51824CD6" w:rsidR="0012472D" w:rsidRPr="00560B1B" w:rsidRDefault="00A7512C">
      <w:pPr>
        <w:pStyle w:val="BodyText"/>
        <w:spacing w:before="1" w:line="249" w:lineRule="auto"/>
        <w:ind w:left="140" w:right="86"/>
      </w:pPr>
      <w:r w:rsidRPr="00560B1B">
        <w:rPr>
          <w:b/>
          <w:spacing w:val="-2"/>
          <w:u w:val="single"/>
        </w:rPr>
        <w:t>Komunikācijas materiāli</w:t>
      </w:r>
      <w:r w:rsidR="00560B1B" w:rsidRPr="00560B1B">
        <w:rPr>
          <w:b/>
          <w:spacing w:val="-2"/>
          <w:u w:val="single"/>
        </w:rPr>
        <w:t xml:space="preserve">. </w:t>
      </w:r>
      <w:r w:rsidR="00560B1B" w:rsidRPr="00560B1B">
        <w:rPr>
          <w:spacing w:val="-2"/>
        </w:rPr>
        <w:t>V</w:t>
      </w:r>
      <w:r w:rsidRPr="00560B1B">
        <w:rPr>
          <w:spacing w:val="-2"/>
        </w:rPr>
        <w:t>isa</w:t>
      </w:r>
      <w:r w:rsidR="00FC6F3F" w:rsidRPr="00560B1B">
        <w:rPr>
          <w:spacing w:val="-2"/>
        </w:rPr>
        <w:t>i</w:t>
      </w:r>
      <w:r w:rsidRPr="00560B1B">
        <w:rPr>
          <w:spacing w:val="-2"/>
        </w:rPr>
        <w:t xml:space="preserve"> </w:t>
      </w:r>
      <w:r w:rsidR="00FC6F3F" w:rsidRPr="00560B1B">
        <w:rPr>
          <w:spacing w:val="-2"/>
        </w:rPr>
        <w:t>ar iestādes darbību, produktiem, pakalpojumiem un ilgtspējības rādītājiem saistītajai</w:t>
      </w:r>
      <w:r w:rsidRPr="00560B1B">
        <w:rPr>
          <w:spacing w:val="-2"/>
        </w:rPr>
        <w:t xml:space="preserve"> komunikācija</w:t>
      </w:r>
      <w:r w:rsidR="00FC6F3F" w:rsidRPr="00560B1B">
        <w:rPr>
          <w:spacing w:val="-2"/>
        </w:rPr>
        <w:t>i</w:t>
      </w:r>
      <w:r w:rsidRPr="00560B1B">
        <w:rPr>
          <w:spacing w:val="-2"/>
        </w:rPr>
        <w:t xml:space="preserve"> jābūt precīzai, </w:t>
      </w:r>
      <w:r w:rsidRPr="00560B1B">
        <w:t xml:space="preserve">skaidrai, atbilstošai un viegli saprotamai. Komunikācijai jābūt redzamai viesiem un, </w:t>
      </w:r>
      <w:r w:rsidR="003C7BEF" w:rsidRPr="00560B1B">
        <w:t>pēc iespējas un nepieciešamības</w:t>
      </w:r>
      <w:r w:rsidRPr="00560B1B">
        <w:t>, tajā iekļauj</w:t>
      </w:r>
      <w:r w:rsidR="003C7BEF" w:rsidRPr="00560B1B">
        <w:t>ami</w:t>
      </w:r>
      <w:r w:rsidR="00D360E4" w:rsidRPr="00560B1B">
        <w:t xml:space="preserve"> </w:t>
      </w:r>
      <w:r w:rsidRPr="00560B1B">
        <w:t>skaidr</w:t>
      </w:r>
      <w:r w:rsidR="00D360E4" w:rsidRPr="00560B1B">
        <w:t>i</w:t>
      </w:r>
      <w:r w:rsidRPr="00560B1B">
        <w:t xml:space="preserve"> un izcelt</w:t>
      </w:r>
      <w:r w:rsidR="00D360E4" w:rsidRPr="00560B1B">
        <w:t>i</w:t>
      </w:r>
      <w:r w:rsidRPr="00560B1B">
        <w:t xml:space="preserve"> aicinājum</w:t>
      </w:r>
      <w:r w:rsidR="00D360E4" w:rsidRPr="00560B1B">
        <w:t>i</w:t>
      </w:r>
      <w:r w:rsidRPr="00560B1B">
        <w:t xml:space="preserve"> </w:t>
      </w:r>
      <w:r w:rsidR="00D360E4" w:rsidRPr="00560B1B">
        <w:t xml:space="preserve">līdzdarboties iestādes </w:t>
      </w:r>
      <w:r w:rsidRPr="00560B1B">
        <w:t xml:space="preserve">vides </w:t>
      </w:r>
      <w:r w:rsidR="00D360E4" w:rsidRPr="00560B1B">
        <w:t>aktivitātēs</w:t>
      </w:r>
      <w:r w:rsidRPr="00560B1B">
        <w:t>. Iestāde</w:t>
      </w:r>
      <w:r w:rsidR="00D360E4" w:rsidRPr="00560B1B">
        <w:t>s komunikācijā tiek</w:t>
      </w:r>
      <w:r w:rsidRPr="00560B1B">
        <w:t xml:space="preserve"> snie</w:t>
      </w:r>
      <w:r w:rsidR="00D360E4" w:rsidRPr="00560B1B">
        <w:t>gta</w:t>
      </w:r>
      <w:r w:rsidRPr="00560B1B">
        <w:t xml:space="preserve"> precīz</w:t>
      </w:r>
      <w:r w:rsidR="00D360E4" w:rsidRPr="00560B1B">
        <w:t>a</w:t>
      </w:r>
      <w:r w:rsidRPr="00560B1B">
        <w:t>, skaidr</w:t>
      </w:r>
      <w:r w:rsidR="00D360E4" w:rsidRPr="00560B1B">
        <w:t>a</w:t>
      </w:r>
      <w:r w:rsidRPr="00560B1B">
        <w:t>, atbilstoš</w:t>
      </w:r>
      <w:r w:rsidR="00D360E4" w:rsidRPr="00560B1B">
        <w:t>a</w:t>
      </w:r>
      <w:r w:rsidRPr="00560B1B">
        <w:t xml:space="preserve"> un pareiz</w:t>
      </w:r>
      <w:r w:rsidR="00D360E4" w:rsidRPr="00560B1B">
        <w:t>a</w:t>
      </w:r>
      <w:r w:rsidRPr="00560B1B">
        <w:t xml:space="preserve"> informācij</w:t>
      </w:r>
      <w:r w:rsidR="00D360E4" w:rsidRPr="00560B1B">
        <w:t>a</w:t>
      </w:r>
      <w:r w:rsidRPr="00560B1B">
        <w:t xml:space="preserve"> un komunikācij</w:t>
      </w:r>
      <w:r w:rsidR="00D360E4" w:rsidRPr="00560B1B">
        <w:t>a</w:t>
      </w:r>
      <w:r w:rsidRPr="00560B1B">
        <w:t xml:space="preserve"> par saviem ilgtspējības rādītājiem, kas atbilst faktiskaj</w:t>
      </w:r>
      <w:r w:rsidR="00D360E4" w:rsidRPr="00560B1B">
        <w:t xml:space="preserve">ai situācijai </w:t>
      </w:r>
      <w:r w:rsidRPr="00560B1B">
        <w:t xml:space="preserve">un atspoguļo tikai tās darbības un pasākumus, kas tiek īstenoti </w:t>
      </w:r>
      <w:r w:rsidRPr="00560B1B">
        <w:rPr>
          <w:spacing w:val="-2"/>
        </w:rPr>
        <w:t>praksē.</w:t>
      </w:r>
    </w:p>
    <w:p w14:paraId="00E1E3BB" w14:textId="77777777" w:rsidR="0012472D" w:rsidRPr="00560B1B" w:rsidRDefault="0012472D">
      <w:pPr>
        <w:pStyle w:val="BodyText"/>
        <w:spacing w:before="13"/>
      </w:pPr>
    </w:p>
    <w:p w14:paraId="74EA3F04" w14:textId="09C61C0E" w:rsidR="0012472D" w:rsidRPr="00560B1B" w:rsidRDefault="00A7512C">
      <w:pPr>
        <w:pStyle w:val="BodyText"/>
        <w:spacing w:before="1" w:line="249" w:lineRule="auto"/>
        <w:ind w:left="140" w:right="110"/>
        <w:jc w:val="both"/>
      </w:pPr>
      <w:r w:rsidRPr="00560B1B">
        <w:rPr>
          <w:b/>
          <w:spacing w:val="-2"/>
          <w:u w:val="single"/>
        </w:rPr>
        <w:t>Datu uzglabāšana un pieejamība</w:t>
      </w:r>
      <w:r w:rsidR="00560B1B" w:rsidRPr="00560B1B">
        <w:rPr>
          <w:b/>
          <w:spacing w:val="-2"/>
          <w:u w:val="single"/>
        </w:rPr>
        <w:t>.</w:t>
      </w:r>
      <w:r w:rsidRPr="00560B1B">
        <w:rPr>
          <w:b/>
          <w:spacing w:val="-2"/>
          <w:u w:val="single"/>
        </w:rPr>
        <w:t xml:space="preserve"> </w:t>
      </w:r>
      <w:r w:rsidRPr="00560B1B">
        <w:rPr>
          <w:spacing w:val="-2"/>
        </w:rPr>
        <w:t xml:space="preserve">Visi iesniegtie darbības un uzņēmējdarbības dati tiek uzglabāti vai nu valsts </w:t>
      </w:r>
      <w:r w:rsidR="00D360E4" w:rsidRPr="00560B1B">
        <w:rPr>
          <w:spacing w:val="-2"/>
        </w:rPr>
        <w:t>Zaļās Atslēgas</w:t>
      </w:r>
      <w:r w:rsidRPr="00560B1B">
        <w:rPr>
          <w:spacing w:val="-2"/>
        </w:rPr>
        <w:t xml:space="preserve"> datu bāzē (ja tāda pastāv)</w:t>
      </w:r>
      <w:r w:rsidRPr="00560B1B">
        <w:t xml:space="preserve">, vai </w:t>
      </w:r>
      <w:r w:rsidR="00D360E4" w:rsidRPr="00560B1B">
        <w:t>Zaļās Atslēgas starptautiskajā</w:t>
      </w:r>
      <w:r w:rsidRPr="00560B1B">
        <w:t xml:space="preserve"> datu bāzē. Uzņēmumi var pieprasīt piekļuvi savam profilam starptautiskajā datu bāzē iekšējās atskaites, uzraudzības un pārredzamības nolūkos. </w:t>
      </w:r>
      <w:r w:rsidR="00D360E4" w:rsidRPr="00560B1B">
        <w:t>Zaļā Atslēga</w:t>
      </w:r>
      <w:r w:rsidRPr="00560B1B">
        <w:t xml:space="preserve"> sadarbojas ar izvēlēt</w:t>
      </w:r>
      <w:r w:rsidR="00D360E4" w:rsidRPr="00560B1B">
        <w:t>ām</w:t>
      </w:r>
      <w:r w:rsidRPr="00560B1B">
        <w:t xml:space="preserve">m tiešsaistes ceļojumu aģentūrām (OTA) un </w:t>
      </w:r>
      <w:r w:rsidR="00D360E4" w:rsidRPr="00560B1B">
        <w:t>platformās</w:t>
      </w:r>
      <w:r w:rsidRPr="00560B1B">
        <w:t xml:space="preserve"> kas savās rezervēšanas </w:t>
      </w:r>
      <w:r w:rsidR="00D360E4" w:rsidRPr="00560B1B">
        <w:t>vietnēs</w:t>
      </w:r>
      <w:r w:rsidRPr="00560B1B">
        <w:t xml:space="preserve"> izceļ sertificētus uzņēmumus. Šim nolūkam </w:t>
      </w:r>
      <w:r w:rsidR="00D360E4" w:rsidRPr="00560B1B">
        <w:t>Zaļā Atslēga</w:t>
      </w:r>
      <w:r w:rsidRPr="00560B1B">
        <w:t xml:space="preserve"> var dalīties ar izvilkumiem no starptautiskā sertificēto uzņēmumu saraksta, kas satur tikai publiski pieejamu informāciju (piemēram, uzņēmuma nosaukumu). Privāti, konfidenciāli vai jutīgi dati netiek izpausti. Papildu informācija par dokumentācijas prasībām, datu apstrādi un atbildību ir sniegta sertifikācijas līgumā, kas tiek nosūtīts uzņēmumiem pēc </w:t>
      </w:r>
      <w:r w:rsidR="00D360E4" w:rsidRPr="00560B1B">
        <w:t xml:space="preserve">sertifikācijas procesa uzsākšanas </w:t>
      </w:r>
      <w:r w:rsidRPr="00560B1B">
        <w:t>intere</w:t>
      </w:r>
      <w:r w:rsidR="00D360E4" w:rsidRPr="00560B1B">
        <w:t>ses</w:t>
      </w:r>
      <w:r w:rsidRPr="00560B1B">
        <w:t xml:space="preserve"> reģistrēšanas.</w:t>
      </w:r>
    </w:p>
    <w:p w14:paraId="59808499" w14:textId="77777777" w:rsidR="0012472D" w:rsidRPr="00560B1B" w:rsidRDefault="0012472D">
      <w:pPr>
        <w:pStyle w:val="BodyText"/>
        <w:spacing w:before="15"/>
      </w:pPr>
    </w:p>
    <w:p w14:paraId="326BC876" w14:textId="35908352" w:rsidR="0012472D" w:rsidRPr="00560B1B" w:rsidRDefault="00A7512C">
      <w:pPr>
        <w:pStyle w:val="BodyText"/>
        <w:spacing w:line="249" w:lineRule="auto"/>
        <w:ind w:left="140" w:right="112"/>
        <w:jc w:val="both"/>
      </w:pPr>
      <w:r w:rsidRPr="00560B1B">
        <w:rPr>
          <w:b/>
          <w:spacing w:val="-4"/>
          <w:u w:val="single"/>
        </w:rPr>
        <w:t>Dezinfekcijas vielas</w:t>
      </w:r>
      <w:r w:rsidR="00560B1B" w:rsidRPr="00560B1B">
        <w:rPr>
          <w:b/>
          <w:spacing w:val="-4"/>
        </w:rPr>
        <w:t>.</w:t>
      </w:r>
      <w:r w:rsidRPr="00560B1B">
        <w:rPr>
          <w:b/>
          <w:spacing w:val="-4"/>
        </w:rPr>
        <w:t xml:space="preserve"> </w:t>
      </w:r>
      <w:r w:rsidR="00560B1B" w:rsidRPr="00560B1B">
        <w:rPr>
          <w:spacing w:val="-4"/>
        </w:rPr>
        <w:t>Ķ</w:t>
      </w:r>
      <w:r w:rsidRPr="00560B1B">
        <w:rPr>
          <w:spacing w:val="-4"/>
        </w:rPr>
        <w:t xml:space="preserve">īmiskas vielas vai biocīdi, kas īpaši paredzēti, lai iznīcinātu, deaktivizētu vai </w:t>
      </w:r>
      <w:r w:rsidR="008C7BAB" w:rsidRPr="00560B1B">
        <w:rPr>
          <w:spacing w:val="-4"/>
        </w:rPr>
        <w:t>apturētu</w:t>
      </w:r>
      <w:r w:rsidRPr="00560B1B">
        <w:rPr>
          <w:spacing w:val="-4"/>
        </w:rPr>
        <w:t xml:space="preserve"> kaitīgos mikroorganismus uz virsmām, materiālos,</w:t>
      </w:r>
      <w:r w:rsidRPr="00560B1B">
        <w:t xml:space="preserve"> iekārtās vai ūdenī. Š</w:t>
      </w:r>
      <w:r w:rsidR="008C7BAB" w:rsidRPr="00560B1B">
        <w:t>o vielu lietošana pārsniedz parastās tīrīšanas rutīnas</w:t>
      </w:r>
      <w:r w:rsidRPr="00560B1B">
        <w:t xml:space="preserve"> un ir paredzēta mikrobioloģiskai kontrolei, nevis tikai fiziskai netīrumu </w:t>
      </w:r>
      <w:r w:rsidRPr="00560B1B">
        <w:rPr>
          <w:spacing w:val="-2"/>
        </w:rPr>
        <w:t xml:space="preserve">vai organisko vielu </w:t>
      </w:r>
      <w:r w:rsidRPr="00560B1B">
        <w:t>noņemšanai</w:t>
      </w:r>
      <w:r w:rsidRPr="00560B1B">
        <w:rPr>
          <w:spacing w:val="-2"/>
        </w:rPr>
        <w:t xml:space="preserve">. Dezinfekcijas vielas satur aktīvās vielas, piemēram, hlora savienojumus, kvartāros amonija savienojumus (QAC), ūdeņraža peroksīdu, </w:t>
      </w:r>
      <w:r w:rsidRPr="00560B1B">
        <w:t>spirtu vai peroksietilskābi.</w:t>
      </w:r>
    </w:p>
    <w:p w14:paraId="6BF61967" w14:textId="77777777" w:rsidR="0012472D" w:rsidRPr="00560B1B" w:rsidRDefault="0012472D">
      <w:pPr>
        <w:pStyle w:val="BodyText"/>
        <w:spacing w:before="13"/>
      </w:pPr>
    </w:p>
    <w:p w14:paraId="5B3969A5" w14:textId="16A4C849" w:rsidR="0012472D" w:rsidRPr="00560B1B" w:rsidRDefault="00A7512C">
      <w:pPr>
        <w:pStyle w:val="BodyText"/>
        <w:ind w:left="140"/>
        <w:jc w:val="both"/>
      </w:pPr>
      <w:r w:rsidRPr="00560B1B">
        <w:rPr>
          <w:b/>
          <w:spacing w:val="-2"/>
          <w:u w:val="single"/>
        </w:rPr>
        <w:t>Mājdzīvnieki</w:t>
      </w:r>
      <w:r w:rsidR="00560B1B" w:rsidRPr="00560B1B">
        <w:rPr>
          <w:b/>
          <w:spacing w:val="-2"/>
        </w:rPr>
        <w:t>.</w:t>
      </w:r>
      <w:r w:rsidRPr="00560B1B">
        <w:rPr>
          <w:b/>
          <w:spacing w:val="-2"/>
        </w:rPr>
        <w:t xml:space="preserve"> </w:t>
      </w:r>
      <w:r w:rsidR="00560B1B" w:rsidRPr="00560B1B">
        <w:rPr>
          <w:spacing w:val="-2"/>
        </w:rPr>
        <w:t>S</w:t>
      </w:r>
      <w:r w:rsidRPr="00560B1B">
        <w:rPr>
          <w:spacing w:val="-2"/>
        </w:rPr>
        <w:t xml:space="preserve">ugas, kas saskaņā ar valsts tiesību aktiem ir likumīgi klasificētas kā mājdzīvnieki vai </w:t>
      </w:r>
      <w:r w:rsidR="008C7BAB" w:rsidRPr="00560B1B">
        <w:rPr>
          <w:spacing w:val="-2"/>
        </w:rPr>
        <w:t>mājlopi</w:t>
      </w:r>
      <w:r w:rsidRPr="00560B1B">
        <w:rPr>
          <w:spacing w:val="-2"/>
        </w:rPr>
        <w:t xml:space="preserve"> (ieskaitot kultūrā audzētas vai tradicionāli apsaimniekotas sugas).</w:t>
      </w:r>
    </w:p>
    <w:p w14:paraId="4496C811" w14:textId="77777777" w:rsidR="0012472D" w:rsidRPr="00560B1B" w:rsidRDefault="0012472D">
      <w:pPr>
        <w:pStyle w:val="BodyText"/>
        <w:spacing w:before="21"/>
      </w:pPr>
    </w:p>
    <w:p w14:paraId="678607F2" w14:textId="0446BAFF" w:rsidR="0012472D" w:rsidRPr="00560B1B" w:rsidRDefault="00A7512C">
      <w:pPr>
        <w:pStyle w:val="BodyText"/>
        <w:spacing w:line="249" w:lineRule="auto"/>
        <w:ind w:left="140" w:right="86"/>
      </w:pPr>
      <w:r w:rsidRPr="00560B1B">
        <w:rPr>
          <w:b/>
          <w:spacing w:val="-2"/>
          <w:u w:val="single"/>
        </w:rPr>
        <w:t>Dzīvnieku izmantošana</w:t>
      </w:r>
      <w:r w:rsidR="00560B1B" w:rsidRPr="00560B1B">
        <w:rPr>
          <w:b/>
          <w:spacing w:val="-2"/>
        </w:rPr>
        <w:t>.</w:t>
      </w:r>
      <w:r w:rsidRPr="00560B1B">
        <w:rPr>
          <w:b/>
          <w:spacing w:val="-2"/>
        </w:rPr>
        <w:t xml:space="preserve"> </w:t>
      </w:r>
      <w:r w:rsidR="00560B1B" w:rsidRPr="00560B1B">
        <w:rPr>
          <w:spacing w:val="-2"/>
        </w:rPr>
        <w:t>D</w:t>
      </w:r>
      <w:r w:rsidRPr="00560B1B">
        <w:rPr>
          <w:spacing w:val="-2"/>
        </w:rPr>
        <w:t>zīvnieku izmantošana veidos, kas rada vai var radīt sāpes, traumas, stresu vai neparastu uzvedību, vai</w:t>
      </w:r>
      <w:r w:rsidR="008C7BAB" w:rsidRPr="00560B1B">
        <w:rPr>
          <w:spacing w:val="-2"/>
        </w:rPr>
        <w:t xml:space="preserve"> izmantošana</w:t>
      </w:r>
      <w:r w:rsidRPr="00560B1B">
        <w:rPr>
          <w:spacing w:val="-2"/>
        </w:rPr>
        <w:t xml:space="preserve"> k</w:t>
      </w:r>
      <w:r w:rsidR="008C7BAB" w:rsidRPr="00560B1B">
        <w:rPr>
          <w:spacing w:val="-2"/>
        </w:rPr>
        <w:t>ur</w:t>
      </w:r>
      <w:r w:rsidRPr="00560B1B">
        <w:rPr>
          <w:spacing w:val="-2"/>
        </w:rPr>
        <w:t xml:space="preserve"> dzīvniekus izmanto kā izklaides līdzekļus </w:t>
      </w:r>
      <w:r w:rsidRPr="00560B1B">
        <w:t xml:space="preserve">cilvēku izklaidei vai peļņas gūšanai, nesniedzot patiesu labumu dzīvnieku labklājībai, </w:t>
      </w:r>
      <w:r w:rsidR="008C7BAB" w:rsidRPr="00560B1B">
        <w:t xml:space="preserve">sabiedrības </w:t>
      </w:r>
      <w:r w:rsidRPr="00560B1B">
        <w:t>izglītība</w:t>
      </w:r>
      <w:r w:rsidR="008C7BAB" w:rsidRPr="00560B1B">
        <w:t>s</w:t>
      </w:r>
      <w:r w:rsidRPr="00560B1B">
        <w:t xml:space="preserve"> vai </w:t>
      </w:r>
      <w:r w:rsidR="008C7BAB" w:rsidRPr="00560B1B">
        <w:t xml:space="preserve">sugu </w:t>
      </w:r>
      <w:r w:rsidRPr="00560B1B">
        <w:t>aizsardzība</w:t>
      </w:r>
      <w:r w:rsidR="008C7BAB" w:rsidRPr="00560B1B">
        <w:t>s mērķiem</w:t>
      </w:r>
      <w:r w:rsidRPr="00560B1B">
        <w:t>.</w:t>
      </w:r>
    </w:p>
    <w:p w14:paraId="1BEBAB9A" w14:textId="77777777" w:rsidR="0012472D" w:rsidRPr="00560B1B" w:rsidRDefault="0012472D">
      <w:pPr>
        <w:pStyle w:val="BodyText"/>
        <w:spacing w:before="11"/>
      </w:pPr>
    </w:p>
    <w:p w14:paraId="3B2300DF" w14:textId="62A227AA" w:rsidR="0012472D" w:rsidRPr="00560B1B" w:rsidRDefault="00A7512C">
      <w:pPr>
        <w:pStyle w:val="BodyText"/>
        <w:spacing w:before="1" w:line="249" w:lineRule="auto"/>
        <w:ind w:left="140" w:right="86"/>
      </w:pPr>
      <w:r w:rsidRPr="00560B1B">
        <w:rPr>
          <w:b/>
          <w:u w:val="single"/>
        </w:rPr>
        <w:t xml:space="preserve">FEE </w:t>
      </w:r>
      <w:r w:rsidR="008C7BAB" w:rsidRPr="00560B1B">
        <w:rPr>
          <w:b/>
          <w:u w:val="single"/>
        </w:rPr>
        <w:t>Akadēmija</w:t>
      </w:r>
      <w:r w:rsidR="00560B1B" w:rsidRPr="00560B1B">
        <w:rPr>
          <w:b/>
        </w:rPr>
        <w:t>.</w:t>
      </w:r>
      <w:r w:rsidRPr="00560B1B">
        <w:rPr>
          <w:b/>
        </w:rPr>
        <w:t xml:space="preserve"> </w:t>
      </w:r>
      <w:r w:rsidR="008C7BAB" w:rsidRPr="00560B1B">
        <w:rPr>
          <w:bCs/>
        </w:rPr>
        <w:t>Starptautiskā</w:t>
      </w:r>
      <w:r w:rsidR="008C7BAB" w:rsidRPr="00560B1B">
        <w:rPr>
          <w:b/>
        </w:rPr>
        <w:t xml:space="preserve"> </w:t>
      </w:r>
      <w:r w:rsidRPr="00560B1B">
        <w:t>Vides izglītības fonda</w:t>
      </w:r>
      <w:r w:rsidR="008C7BAB" w:rsidRPr="00560B1B">
        <w:t xml:space="preserve"> (FEE International)</w:t>
      </w:r>
      <w:r w:rsidRPr="00560B1B">
        <w:t xml:space="preserve"> digitālā platforma, kas piedāvā ilgtspējīgas attīstības </w:t>
      </w:r>
      <w:r w:rsidR="008C7BAB" w:rsidRPr="00560B1B">
        <w:t>ap</w:t>
      </w:r>
      <w:r w:rsidRPr="00560B1B">
        <w:t xml:space="preserve">mācību un komunikācijas resursus </w:t>
      </w:r>
      <w:r w:rsidR="008C7BAB" w:rsidRPr="00560B1B">
        <w:t>Zaļās Atslēgas programmā iesaistītajām</w:t>
      </w:r>
      <w:r w:rsidRPr="00560B1B">
        <w:t xml:space="preserve"> </w:t>
      </w:r>
      <w:r w:rsidR="008C7BAB" w:rsidRPr="00560B1B">
        <w:rPr>
          <w:spacing w:val="-2"/>
        </w:rPr>
        <w:t>pusēm</w:t>
      </w:r>
      <w:r w:rsidRPr="00560B1B">
        <w:rPr>
          <w:spacing w:val="-2"/>
        </w:rPr>
        <w:t>.</w:t>
      </w:r>
    </w:p>
    <w:p w14:paraId="48E54141" w14:textId="77777777" w:rsidR="0012472D" w:rsidRPr="00560B1B" w:rsidRDefault="0012472D">
      <w:pPr>
        <w:pStyle w:val="BodyText"/>
        <w:spacing w:before="11"/>
      </w:pPr>
    </w:p>
    <w:p w14:paraId="1E053714" w14:textId="423CF669" w:rsidR="0012472D" w:rsidRPr="00560B1B" w:rsidRDefault="00870A0C">
      <w:pPr>
        <w:pStyle w:val="BodyText"/>
        <w:ind w:left="140"/>
      </w:pPr>
      <w:r w:rsidRPr="00560B1B">
        <w:rPr>
          <w:b/>
          <w:spacing w:val="-2"/>
          <w:u w:val="single"/>
        </w:rPr>
        <w:t>Instalācijas</w:t>
      </w:r>
      <w:r w:rsidR="00560B1B" w:rsidRPr="00560B1B">
        <w:rPr>
          <w:b/>
          <w:spacing w:val="-2"/>
        </w:rPr>
        <w:t>.</w:t>
      </w:r>
      <w:r w:rsidRPr="00560B1B">
        <w:rPr>
          <w:b/>
          <w:spacing w:val="-2"/>
        </w:rPr>
        <w:t xml:space="preserve"> </w:t>
      </w:r>
      <w:r w:rsidR="00560B1B" w:rsidRPr="00560B1B">
        <w:rPr>
          <w:spacing w:val="-2"/>
        </w:rPr>
        <w:t>P</w:t>
      </w:r>
      <w:r w:rsidRPr="00560B1B">
        <w:rPr>
          <w:spacing w:val="-2"/>
        </w:rPr>
        <w:t xml:space="preserve">riekšmeti vai ierīces, kas ir pastāvīgi piestiprināti vai iebūvēti ēkā, piemēram, iebūvēti apgaismes ķermeņi, izlietnes, tualetes, durvis, rāmji </w:t>
      </w:r>
      <w:r w:rsidRPr="00560B1B">
        <w:rPr>
          <w:spacing w:val="-4"/>
        </w:rPr>
        <w:t>utt.</w:t>
      </w:r>
    </w:p>
    <w:p w14:paraId="491EB349" w14:textId="77777777" w:rsidR="0012472D" w:rsidRPr="00560B1B" w:rsidRDefault="0012472D">
      <w:pPr>
        <w:pStyle w:val="BodyText"/>
        <w:sectPr w:rsidR="0012472D" w:rsidRPr="00560B1B">
          <w:pgSz w:w="16840" w:h="11910" w:orient="landscape"/>
          <w:pgMar w:top="1340" w:right="1275" w:bottom="280" w:left="1275" w:header="708" w:footer="708" w:gutter="0"/>
          <w:cols w:space="708"/>
        </w:sectPr>
      </w:pPr>
    </w:p>
    <w:p w14:paraId="39D0DA20" w14:textId="21E3C192" w:rsidR="0012472D" w:rsidRPr="00560B1B" w:rsidRDefault="00A7512C">
      <w:pPr>
        <w:pStyle w:val="BodyText"/>
        <w:spacing w:before="79"/>
        <w:ind w:left="140"/>
      </w:pPr>
      <w:r w:rsidRPr="00560B1B">
        <w:rPr>
          <w:b/>
          <w:spacing w:val="-4"/>
          <w:u w:val="single"/>
        </w:rPr>
        <w:lastRenderedPageBreak/>
        <w:t>Mēbeles</w:t>
      </w:r>
      <w:r w:rsidR="00560B1B" w:rsidRPr="00560B1B">
        <w:rPr>
          <w:b/>
          <w:spacing w:val="-4"/>
        </w:rPr>
        <w:t>.</w:t>
      </w:r>
      <w:r w:rsidRPr="00560B1B">
        <w:rPr>
          <w:b/>
          <w:spacing w:val="-4"/>
        </w:rPr>
        <w:t xml:space="preserve"> </w:t>
      </w:r>
      <w:r w:rsidR="00560B1B" w:rsidRPr="00560B1B">
        <w:rPr>
          <w:spacing w:val="-4"/>
        </w:rPr>
        <w:t>I</w:t>
      </w:r>
      <w:r w:rsidRPr="00560B1B">
        <w:rPr>
          <w:spacing w:val="-4"/>
        </w:rPr>
        <w:t>zturīgas preces, piemēram, krēsli, galdi, gultas, skapji un līdzīgas ilgmūžīgas mēbeles.</w:t>
      </w:r>
    </w:p>
    <w:p w14:paraId="1C4CD8F7" w14:textId="77777777" w:rsidR="0012472D" w:rsidRPr="00560B1B" w:rsidRDefault="0012472D">
      <w:pPr>
        <w:pStyle w:val="BodyText"/>
        <w:spacing w:before="20"/>
      </w:pPr>
    </w:p>
    <w:p w14:paraId="4B2C3F51" w14:textId="75EB133B" w:rsidR="0012472D" w:rsidRPr="00560B1B" w:rsidRDefault="00A7512C">
      <w:pPr>
        <w:pStyle w:val="BodyText"/>
        <w:ind w:left="140"/>
      </w:pPr>
      <w:r w:rsidRPr="00560B1B">
        <w:rPr>
          <w:b/>
          <w:u w:val="single"/>
        </w:rPr>
        <w:t>Labā prakse</w:t>
      </w:r>
      <w:r w:rsidR="00560B1B" w:rsidRPr="00560B1B">
        <w:rPr>
          <w:b/>
        </w:rPr>
        <w:t>.</w:t>
      </w:r>
      <w:r w:rsidRPr="00560B1B">
        <w:rPr>
          <w:b/>
        </w:rPr>
        <w:t xml:space="preserve"> </w:t>
      </w:r>
      <w:r w:rsidR="00560B1B" w:rsidRPr="00560B1B">
        <w:t>P</w:t>
      </w:r>
      <w:r w:rsidRPr="00560B1B">
        <w:t xml:space="preserve">ārbaudīta ilgtspējības iniciatīva vai darbība, ko īsteno uzņēmums un kas tiek izplatīta, lai veicinātu un dalītos pieredzē ar citiem, izmantojot </w:t>
      </w:r>
      <w:r w:rsidR="00870A0C" w:rsidRPr="00560B1B">
        <w:t>Zaļās Atslēgas programmu</w:t>
      </w:r>
      <w:r w:rsidRPr="00560B1B">
        <w:rPr>
          <w:spacing w:val="-4"/>
        </w:rPr>
        <w:t>.</w:t>
      </w:r>
    </w:p>
    <w:p w14:paraId="7B85DA1E" w14:textId="77777777" w:rsidR="0012472D" w:rsidRPr="00560B1B" w:rsidRDefault="0012472D">
      <w:pPr>
        <w:pStyle w:val="BodyText"/>
        <w:spacing w:before="61"/>
      </w:pPr>
    </w:p>
    <w:p w14:paraId="590DACFA" w14:textId="37329003" w:rsidR="0012472D" w:rsidRPr="00560B1B" w:rsidRDefault="00A7512C">
      <w:pPr>
        <w:pStyle w:val="BodyText"/>
        <w:spacing w:line="249" w:lineRule="auto"/>
        <w:ind w:left="140" w:right="108"/>
        <w:jc w:val="both"/>
      </w:pPr>
      <w:r w:rsidRPr="00560B1B">
        <w:rPr>
          <w:b/>
          <w:u w:val="single"/>
        </w:rPr>
        <w:t>Zaļās zonas</w:t>
      </w:r>
      <w:r w:rsidR="00560B1B" w:rsidRPr="00560B1B">
        <w:rPr>
          <w:b/>
        </w:rPr>
        <w:t>.</w:t>
      </w:r>
      <w:r w:rsidRPr="00560B1B">
        <w:rPr>
          <w:b/>
        </w:rPr>
        <w:t xml:space="preserve"> </w:t>
      </w:r>
      <w:r w:rsidR="00560B1B" w:rsidRPr="00560B1B">
        <w:t>D</w:t>
      </w:r>
      <w:r w:rsidRPr="00560B1B">
        <w:t xml:space="preserve">ārzi, zālieni, puķu dobes, labiekārtotas teritorijas, apzaļumoti jumti, puķu podi un jebkura cita kopta āra vai iekštelpu veģetācija. Meža </w:t>
      </w:r>
      <w:r w:rsidR="00870A0C" w:rsidRPr="00560B1B">
        <w:t>teritorijas Zaļās Atslēgas programmas kritēriju kataloga kontekstā</w:t>
      </w:r>
      <w:r w:rsidRPr="00560B1B">
        <w:t xml:space="preserve"> netiek uzskatītas par zaļajām zonām, jo tās neietilpst sertifikācijas </w:t>
      </w:r>
      <w:r w:rsidR="00870A0C" w:rsidRPr="00560B1B">
        <w:t>tvērumā</w:t>
      </w:r>
      <w:r w:rsidRPr="00560B1B">
        <w:t>.</w:t>
      </w:r>
    </w:p>
    <w:p w14:paraId="7CB1EB3A" w14:textId="77777777" w:rsidR="0012472D" w:rsidRPr="00560B1B" w:rsidRDefault="0012472D">
      <w:pPr>
        <w:pStyle w:val="BodyText"/>
        <w:spacing w:before="52"/>
      </w:pPr>
    </w:p>
    <w:p w14:paraId="509A0C4D" w14:textId="5FC98F9F" w:rsidR="0012472D" w:rsidRPr="00560B1B" w:rsidRDefault="00A7512C">
      <w:pPr>
        <w:pStyle w:val="BodyText"/>
        <w:spacing w:line="249" w:lineRule="auto"/>
        <w:ind w:left="140" w:right="121"/>
        <w:jc w:val="both"/>
      </w:pPr>
      <w:r w:rsidRPr="00560B1B">
        <w:rPr>
          <w:b/>
          <w:u w:val="single"/>
        </w:rPr>
        <w:t>Zaļā komiteja</w:t>
      </w:r>
      <w:r w:rsidR="00560B1B" w:rsidRPr="00560B1B">
        <w:rPr>
          <w:b/>
        </w:rPr>
        <w:t>.</w:t>
      </w:r>
      <w:r w:rsidRPr="00560B1B">
        <w:rPr>
          <w:b/>
        </w:rPr>
        <w:t xml:space="preserve"> </w:t>
      </w:r>
      <w:r w:rsidR="00560B1B" w:rsidRPr="00560B1B">
        <w:rPr>
          <w:bCs/>
        </w:rPr>
        <w:t>I</w:t>
      </w:r>
      <w:r w:rsidR="00870A0C" w:rsidRPr="00560B1B">
        <w:rPr>
          <w:bCs/>
        </w:rPr>
        <w:t>ekšēja</w:t>
      </w:r>
      <w:r w:rsidR="00870A0C" w:rsidRPr="00560B1B">
        <w:rPr>
          <w:b/>
        </w:rPr>
        <w:t xml:space="preserve"> </w:t>
      </w:r>
      <w:r w:rsidRPr="00560B1B">
        <w:t xml:space="preserve">starpnozaru grupa, kas atbalsta iestādes pārstāvi </w:t>
      </w:r>
      <w:r w:rsidR="00870A0C" w:rsidRPr="00560B1B">
        <w:t xml:space="preserve">Zaļās atslēgas programmā </w:t>
      </w:r>
      <w:r w:rsidRPr="00560B1B">
        <w:t>ilgtspējības pasākumu un stratēģijas plānošanā, īstenošanā un komunikācijā.</w:t>
      </w:r>
    </w:p>
    <w:p w14:paraId="40D6C5F5" w14:textId="77777777" w:rsidR="0012472D" w:rsidRPr="00560B1B" w:rsidRDefault="0012472D">
      <w:pPr>
        <w:pStyle w:val="BodyText"/>
        <w:spacing w:before="51"/>
      </w:pPr>
    </w:p>
    <w:p w14:paraId="0A7515A2" w14:textId="06C286ED" w:rsidR="0012472D" w:rsidRPr="00560B1B" w:rsidRDefault="00A7512C">
      <w:pPr>
        <w:pStyle w:val="BodyText"/>
        <w:spacing w:line="249" w:lineRule="auto"/>
        <w:ind w:left="140" w:right="112"/>
        <w:jc w:val="both"/>
      </w:pPr>
      <w:r w:rsidRPr="00560B1B">
        <w:rPr>
          <w:b/>
          <w:u w:val="single"/>
        </w:rPr>
        <w:t>Zaļās atslēgas mape</w:t>
      </w:r>
      <w:r w:rsidR="00560B1B" w:rsidRPr="00560B1B">
        <w:rPr>
          <w:b/>
          <w:u w:val="single"/>
        </w:rPr>
        <w:t>.</w:t>
      </w:r>
      <w:r w:rsidRPr="00560B1B">
        <w:rPr>
          <w:b/>
          <w:u w:val="single"/>
        </w:rPr>
        <w:t xml:space="preserve"> </w:t>
      </w:r>
      <w:r w:rsidR="00560B1B" w:rsidRPr="00560B1B">
        <w:t>I</w:t>
      </w:r>
      <w:r w:rsidRPr="00560B1B">
        <w:t>estāde uztur Zaļās atslēgas mapi, kurā ir visi attiecīgie un aktuālie dokumenti, apliecin</w:t>
      </w:r>
      <w:r w:rsidR="00870A0C" w:rsidRPr="00560B1B">
        <w:t>ot</w:t>
      </w:r>
      <w:r w:rsidRPr="00560B1B">
        <w:t xml:space="preserve"> atbilstību katram kritērijam. Mapīte ir viegli pieejama at</w:t>
      </w:r>
      <w:r w:rsidR="00870A0C" w:rsidRPr="00560B1B">
        <w:t>bildīgajam</w:t>
      </w:r>
      <w:r w:rsidRPr="00560B1B">
        <w:t xml:space="preserve"> personālam un </w:t>
      </w:r>
      <w:r w:rsidR="00870A0C" w:rsidRPr="00560B1B">
        <w:t>auditoram</w:t>
      </w:r>
      <w:r w:rsidRPr="00560B1B">
        <w:t>, nodrošinot pārredzamību, izsekojamību un nepārtrauktību personāla izmaiņu gadījumā.</w:t>
      </w:r>
      <w:r w:rsidRPr="00560B1B">
        <w:rPr>
          <w:spacing w:val="-10"/>
        </w:rPr>
        <w:t xml:space="preserve"> </w:t>
      </w:r>
      <w:r w:rsidRPr="00560B1B">
        <w:t>Mapē jābūt sakārtotai atbilstoši Zaļās atslēgas kritēriju sadaļām un numerācijai. Ir stingri ieteicams map</w:t>
      </w:r>
      <w:r w:rsidR="0023500E" w:rsidRPr="00560B1B">
        <w:t>es sistēmu</w:t>
      </w:r>
      <w:r w:rsidRPr="00560B1B">
        <w:t xml:space="preserve"> uzturēt elektroniski (piemēram, izmantojot </w:t>
      </w:r>
      <w:r w:rsidR="0023500E" w:rsidRPr="00560B1B">
        <w:t>iekšējo tīklu</w:t>
      </w:r>
      <w:r w:rsidRPr="00560B1B">
        <w:t>, kopīgo</w:t>
      </w:r>
      <w:r w:rsidR="0023500E" w:rsidRPr="00560B1B">
        <w:t>tu</w:t>
      </w:r>
      <w:r w:rsidRPr="00560B1B">
        <w:t xml:space="preserve"> disku vai dokumentu pārvaldības sistēmu), lai atvieglotu versiju kontroli, pieejamību un samazinātu papīra izmantošanu. Tikai gadījumos, kad digitālās sistēmas nav pieejamas vai netiek plaši izmantotas, ma</w:t>
      </w:r>
      <w:r w:rsidR="0023500E" w:rsidRPr="00560B1B">
        <w:t>pe</w:t>
      </w:r>
      <w:r w:rsidRPr="00560B1B">
        <w:t xml:space="preserve"> var uztur</w:t>
      </w:r>
      <w:r w:rsidR="0023500E" w:rsidRPr="00560B1B">
        <w:t xml:space="preserve">ama </w:t>
      </w:r>
      <w:r w:rsidRPr="00560B1B">
        <w:t>kā fizisku failu</w:t>
      </w:r>
      <w:r w:rsidR="0023500E" w:rsidRPr="00560B1B">
        <w:t xml:space="preserve"> kopums</w:t>
      </w:r>
      <w:r w:rsidRPr="00560B1B">
        <w:t xml:space="preserve">, ja tas ir pilnīgs, atjaunināts un </w:t>
      </w:r>
      <w:r w:rsidR="0023500E" w:rsidRPr="00560B1B">
        <w:t xml:space="preserve">ir </w:t>
      </w:r>
      <w:r w:rsidRPr="00560B1B">
        <w:t>pieejams.</w:t>
      </w:r>
    </w:p>
    <w:p w14:paraId="48CBA238" w14:textId="77777777" w:rsidR="0012472D" w:rsidRPr="00560B1B" w:rsidRDefault="0012472D">
      <w:pPr>
        <w:pStyle w:val="BodyText"/>
        <w:spacing w:before="55"/>
      </w:pPr>
    </w:p>
    <w:p w14:paraId="471B2B4A" w14:textId="08B972BE" w:rsidR="0012472D" w:rsidRPr="00560B1B" w:rsidRDefault="00A7512C">
      <w:pPr>
        <w:pStyle w:val="BodyText"/>
        <w:spacing w:line="249" w:lineRule="auto"/>
        <w:ind w:left="140" w:right="112"/>
        <w:jc w:val="both"/>
      </w:pPr>
      <w:r w:rsidRPr="00560B1B">
        <w:rPr>
          <w:b/>
          <w:u w:val="single"/>
        </w:rPr>
        <w:t>Zaļā atslēga logotips</w:t>
      </w:r>
      <w:r w:rsidR="00560B1B" w:rsidRPr="00560B1B">
        <w:rPr>
          <w:b/>
        </w:rPr>
        <w:t>.</w:t>
      </w:r>
      <w:r w:rsidRPr="00560B1B">
        <w:rPr>
          <w:b/>
        </w:rPr>
        <w:t xml:space="preserve"> </w:t>
      </w:r>
      <w:r w:rsidRPr="00560B1B">
        <w:t xml:space="preserve">Zaļās atslēgas programmas autorizēts vizuālais zīmols, ko </w:t>
      </w:r>
      <w:r w:rsidR="0023500E" w:rsidRPr="00560B1B">
        <w:t>programma</w:t>
      </w:r>
      <w:r w:rsidRPr="00560B1B">
        <w:t xml:space="preserve"> piešķir</w:t>
      </w:r>
      <w:r w:rsidR="0023500E" w:rsidRPr="00560B1B">
        <w:t xml:space="preserve"> izmantošanai</w:t>
      </w:r>
      <w:r w:rsidRPr="00560B1B">
        <w:t xml:space="preserve"> sertificētiem uzņēmumiem. To drīkst izmantot </w:t>
      </w:r>
      <w:r w:rsidR="0023500E" w:rsidRPr="00560B1B">
        <w:t>neveicot</w:t>
      </w:r>
      <w:r w:rsidRPr="00560B1B">
        <w:t xml:space="preserve"> izmaiņ</w:t>
      </w:r>
      <w:r w:rsidR="0023500E" w:rsidRPr="00560B1B">
        <w:t>as</w:t>
      </w:r>
      <w:r w:rsidRPr="00560B1B">
        <w:t xml:space="preserve"> jebkuros komunikācijas materiālos, ievērojot Zaļās atslēgas zīmola vadlīnijas un citas preču zīmju politikas, un tikai pēc sertificēšanas.</w:t>
      </w:r>
    </w:p>
    <w:p w14:paraId="785893C4" w14:textId="77777777" w:rsidR="0012472D" w:rsidRPr="00560B1B" w:rsidRDefault="0012472D">
      <w:pPr>
        <w:pStyle w:val="BodyText"/>
        <w:spacing w:before="12"/>
      </w:pPr>
    </w:p>
    <w:p w14:paraId="7929B6E4" w14:textId="6F213F90" w:rsidR="0012472D" w:rsidRPr="00560B1B" w:rsidRDefault="0023500E">
      <w:pPr>
        <w:spacing w:line="249" w:lineRule="auto"/>
        <w:ind w:left="140" w:right="123"/>
        <w:jc w:val="both"/>
        <w:rPr>
          <w:sz w:val="20"/>
          <w:szCs w:val="20"/>
        </w:rPr>
      </w:pPr>
      <w:r w:rsidRPr="00560B1B">
        <w:rPr>
          <w:b/>
          <w:sz w:val="20"/>
          <w:szCs w:val="20"/>
          <w:u w:val="single"/>
        </w:rPr>
        <w:t>Iestādes Zaļās Atslēgas pārstāvis</w:t>
      </w:r>
      <w:r w:rsidR="00560B1B" w:rsidRPr="00560B1B">
        <w:rPr>
          <w:b/>
          <w:sz w:val="20"/>
          <w:szCs w:val="20"/>
        </w:rPr>
        <w:t>.</w:t>
      </w:r>
      <w:r w:rsidRPr="00560B1B">
        <w:rPr>
          <w:b/>
          <w:sz w:val="20"/>
          <w:szCs w:val="20"/>
        </w:rPr>
        <w:t xml:space="preserve"> </w:t>
      </w:r>
      <w:r w:rsidR="00560B1B" w:rsidRPr="00560B1B">
        <w:rPr>
          <w:sz w:val="20"/>
          <w:szCs w:val="20"/>
        </w:rPr>
        <w:t>V</w:t>
      </w:r>
      <w:r w:rsidRPr="00560B1B">
        <w:rPr>
          <w:sz w:val="20"/>
          <w:szCs w:val="20"/>
        </w:rPr>
        <w:t xml:space="preserve">adības iecelts darbinieks, kurš koordinē un informē par ilgtspējības pasākumiem </w:t>
      </w:r>
      <w:r w:rsidRPr="00560B1B">
        <w:rPr>
          <w:spacing w:val="-2"/>
          <w:sz w:val="20"/>
          <w:szCs w:val="20"/>
        </w:rPr>
        <w:t>iestādē.</w:t>
      </w:r>
    </w:p>
    <w:p w14:paraId="505A5039" w14:textId="77777777" w:rsidR="0012472D" w:rsidRPr="00560B1B" w:rsidRDefault="0012472D">
      <w:pPr>
        <w:pStyle w:val="BodyText"/>
        <w:spacing w:before="11"/>
      </w:pPr>
    </w:p>
    <w:p w14:paraId="33C47D3D" w14:textId="3404486A" w:rsidR="0012472D" w:rsidRPr="00560B1B" w:rsidRDefault="0023500E">
      <w:pPr>
        <w:pStyle w:val="BodyText"/>
        <w:spacing w:before="1" w:line="249" w:lineRule="auto"/>
        <w:ind w:left="140" w:right="110"/>
        <w:jc w:val="both"/>
      </w:pPr>
      <w:r w:rsidRPr="00560B1B">
        <w:rPr>
          <w:b/>
          <w:u w:val="single"/>
        </w:rPr>
        <w:t>Zaļās Atslēgas rīku komplekts</w:t>
      </w:r>
      <w:r w:rsidR="00560B1B" w:rsidRPr="00560B1B">
        <w:rPr>
          <w:b/>
        </w:rPr>
        <w:t>.</w:t>
      </w:r>
      <w:r w:rsidRPr="00560B1B">
        <w:rPr>
          <w:b/>
        </w:rPr>
        <w:t xml:space="preserve"> </w:t>
      </w:r>
      <w:r w:rsidR="00560B1B" w:rsidRPr="00560B1B">
        <w:t>O</w:t>
      </w:r>
      <w:r w:rsidRPr="00560B1B">
        <w:t>ficiāla digitāla krātuve, kas satur Zaļās Atslēgas dokumentu paraugus, komunikācijas materiālus un, ja pieejams, aizsargātas saites uz rīku komplekta nacionālo versiju.</w:t>
      </w:r>
    </w:p>
    <w:p w14:paraId="14056188" w14:textId="77777777" w:rsidR="0012472D" w:rsidRPr="00560B1B" w:rsidRDefault="0012472D">
      <w:pPr>
        <w:pStyle w:val="BodyText"/>
        <w:spacing w:before="11"/>
      </w:pPr>
    </w:p>
    <w:p w14:paraId="2D7B661D" w14:textId="026AA2BF" w:rsidR="0012472D" w:rsidRPr="00560B1B" w:rsidRDefault="00A7512C">
      <w:pPr>
        <w:pStyle w:val="BodyText"/>
        <w:spacing w:line="249" w:lineRule="auto"/>
        <w:ind w:left="140" w:right="111"/>
        <w:jc w:val="both"/>
      </w:pPr>
      <w:r w:rsidRPr="00560B1B">
        <w:rPr>
          <w:b/>
          <w:spacing w:val="-2"/>
          <w:u w:val="single"/>
        </w:rPr>
        <w:t>Viesiem pieejamais personāls</w:t>
      </w:r>
      <w:r w:rsidR="00560B1B" w:rsidRPr="00560B1B">
        <w:rPr>
          <w:b/>
          <w:spacing w:val="-2"/>
        </w:rPr>
        <w:t>.</w:t>
      </w:r>
      <w:r w:rsidRPr="00560B1B">
        <w:rPr>
          <w:b/>
          <w:spacing w:val="-2"/>
        </w:rPr>
        <w:t xml:space="preserve"> </w:t>
      </w:r>
      <w:r w:rsidR="00560B1B" w:rsidRPr="00560B1B">
        <w:rPr>
          <w:spacing w:val="-2"/>
        </w:rPr>
        <w:t>D</w:t>
      </w:r>
      <w:r w:rsidRPr="00560B1B">
        <w:rPr>
          <w:spacing w:val="-2"/>
        </w:rPr>
        <w:t>arbinieki, kuru galvenie pienākumi ir tieša saskarsme ar viesiem, tostarp viesu uzņemšana, palīdzība</w:t>
      </w:r>
      <w:r w:rsidR="0023500E" w:rsidRPr="00560B1B">
        <w:rPr>
          <w:spacing w:val="-2"/>
        </w:rPr>
        <w:t xml:space="preserve"> viesiem</w:t>
      </w:r>
      <w:r w:rsidRPr="00560B1B">
        <w:rPr>
          <w:spacing w:val="-2"/>
        </w:rPr>
        <w:t xml:space="preserve">, apkalpošana vai atbalsts viesu </w:t>
      </w:r>
      <w:r w:rsidRPr="00560B1B">
        <w:t xml:space="preserve">uzturēšanās vai apmeklējuma </w:t>
      </w:r>
      <w:r w:rsidRPr="00560B1B">
        <w:rPr>
          <w:spacing w:val="-2"/>
        </w:rPr>
        <w:t>laikā</w:t>
      </w:r>
      <w:r w:rsidRPr="00560B1B">
        <w:t>.</w:t>
      </w:r>
    </w:p>
    <w:p w14:paraId="720939DA" w14:textId="77777777" w:rsidR="0012472D" w:rsidRPr="00560B1B" w:rsidRDefault="0012472D">
      <w:pPr>
        <w:pStyle w:val="BodyText"/>
        <w:spacing w:before="52"/>
      </w:pPr>
    </w:p>
    <w:p w14:paraId="66FD5FCC" w14:textId="4140C1D6" w:rsidR="0012472D" w:rsidRPr="00560B1B" w:rsidRDefault="00A7512C">
      <w:pPr>
        <w:pStyle w:val="BodyText"/>
        <w:spacing w:before="1" w:line="249" w:lineRule="auto"/>
        <w:ind w:left="140" w:right="112"/>
        <w:jc w:val="both"/>
      </w:pPr>
      <w:r w:rsidRPr="00560B1B">
        <w:rPr>
          <w:b/>
          <w:u w:val="single"/>
        </w:rPr>
        <w:t>Intervija</w:t>
      </w:r>
      <w:r w:rsidR="00560B1B" w:rsidRPr="00560B1B">
        <w:rPr>
          <w:b/>
          <w:u w:val="single"/>
        </w:rPr>
        <w:t>.</w:t>
      </w:r>
      <w:r w:rsidRPr="00560B1B">
        <w:rPr>
          <w:b/>
          <w:u w:val="single"/>
        </w:rPr>
        <w:t xml:space="preserve"> </w:t>
      </w:r>
      <w:r w:rsidR="00560B1B" w:rsidRPr="00560B1B">
        <w:t>I</w:t>
      </w:r>
      <w:r w:rsidRPr="00560B1B">
        <w:t xml:space="preserve">ntervija ir </w:t>
      </w:r>
      <w:r w:rsidR="0023500E" w:rsidRPr="00560B1B">
        <w:t>audita</w:t>
      </w:r>
      <w:r w:rsidRPr="00560B1B">
        <w:t xml:space="preserve"> metod</w:t>
      </w:r>
      <w:r w:rsidR="0023500E" w:rsidRPr="00560B1B">
        <w:t>e</w:t>
      </w:r>
      <w:r w:rsidRPr="00560B1B">
        <w:t xml:space="preserve">, ko izmanto </w:t>
      </w:r>
      <w:r w:rsidR="0023500E" w:rsidRPr="00560B1B">
        <w:t>audita</w:t>
      </w:r>
      <w:r w:rsidRPr="00560B1B">
        <w:t xml:space="preserve"> laikā, lai mutiski apstiprinātu</w:t>
      </w:r>
      <w:r w:rsidR="0023500E" w:rsidRPr="00560B1B">
        <w:t xml:space="preserve"> </w:t>
      </w:r>
      <w:r w:rsidRPr="00560B1B">
        <w:t>kritērij</w:t>
      </w:r>
      <w:r w:rsidR="0023500E" w:rsidRPr="00560B1B">
        <w:t>u</w:t>
      </w:r>
      <w:r w:rsidRPr="00560B1B">
        <w:t xml:space="preserve"> īsteno</w:t>
      </w:r>
      <w:r w:rsidR="0023500E" w:rsidRPr="00560B1B">
        <w:t>šanu</w:t>
      </w:r>
      <w:r w:rsidRPr="00560B1B">
        <w:t xml:space="preserve"> praksē. Parasti tā sastāv no viena vai vairākiem mērķtiecīgiem jautājumiem, kas tiek uzdoti at</w:t>
      </w:r>
      <w:r w:rsidR="0023500E" w:rsidRPr="00560B1B">
        <w:t xml:space="preserve">bildīgajām personām </w:t>
      </w:r>
      <w:r w:rsidRPr="00560B1B">
        <w:t xml:space="preserve">(piemēram, darbiniekiem, vadībai vai citām iesaistītajām pusēm), lai noteiktu, vai ir </w:t>
      </w:r>
      <w:r w:rsidR="0023500E" w:rsidRPr="00560B1B">
        <w:t>nodrošināta</w:t>
      </w:r>
      <w:r w:rsidRPr="00560B1B">
        <w:t xml:space="preserve"> atbilstība</w:t>
      </w:r>
      <w:r w:rsidR="0023500E" w:rsidRPr="00560B1B">
        <w:t xml:space="preserve"> kritēriju prasībām.</w:t>
      </w:r>
    </w:p>
    <w:p w14:paraId="2150FBD7" w14:textId="77777777" w:rsidR="0012472D" w:rsidRPr="00560B1B" w:rsidRDefault="0012472D">
      <w:pPr>
        <w:pStyle w:val="BodyText"/>
        <w:spacing w:before="50"/>
      </w:pPr>
    </w:p>
    <w:p w14:paraId="3ADA1BB5" w14:textId="6C59026F" w:rsidR="0012472D" w:rsidRPr="00560B1B" w:rsidRDefault="00A7512C">
      <w:pPr>
        <w:pStyle w:val="BodyText"/>
        <w:ind w:left="140"/>
      </w:pPr>
      <w:r w:rsidRPr="00560B1B">
        <w:t xml:space="preserve">Intervijas izmanto, piemēram, lai apstiprinātu, </w:t>
      </w:r>
      <w:r w:rsidRPr="00560B1B">
        <w:rPr>
          <w:spacing w:val="-4"/>
        </w:rPr>
        <w:t>ka</w:t>
      </w:r>
    </w:p>
    <w:p w14:paraId="5C65B5DC" w14:textId="77777777" w:rsidR="0012472D" w:rsidRPr="00560B1B" w:rsidRDefault="00A7512C">
      <w:pPr>
        <w:pStyle w:val="ListParagraph"/>
        <w:numPr>
          <w:ilvl w:val="0"/>
          <w:numId w:val="2"/>
        </w:numPr>
        <w:tabs>
          <w:tab w:val="left" w:pos="861"/>
        </w:tabs>
        <w:spacing w:before="12" w:line="243" w:lineRule="exact"/>
        <w:rPr>
          <w:sz w:val="20"/>
          <w:szCs w:val="20"/>
        </w:rPr>
      </w:pPr>
      <w:r w:rsidRPr="00560B1B">
        <w:rPr>
          <w:sz w:val="20"/>
          <w:szCs w:val="20"/>
        </w:rPr>
        <w:t xml:space="preserve">personāls saprot un ievēro nepieciešamās politikas vai </w:t>
      </w:r>
      <w:r w:rsidRPr="00560B1B">
        <w:rPr>
          <w:spacing w:val="-2"/>
          <w:sz w:val="20"/>
          <w:szCs w:val="20"/>
        </w:rPr>
        <w:t>procedūras;</w:t>
      </w:r>
    </w:p>
    <w:p w14:paraId="44FEA139" w14:textId="77777777" w:rsidR="0012472D" w:rsidRPr="00560B1B" w:rsidRDefault="00A7512C">
      <w:pPr>
        <w:pStyle w:val="ListParagraph"/>
        <w:numPr>
          <w:ilvl w:val="0"/>
          <w:numId w:val="2"/>
        </w:numPr>
        <w:tabs>
          <w:tab w:val="left" w:pos="861"/>
        </w:tabs>
        <w:spacing w:line="243" w:lineRule="exact"/>
        <w:rPr>
          <w:sz w:val="20"/>
          <w:szCs w:val="20"/>
        </w:rPr>
      </w:pPr>
      <w:r w:rsidRPr="00560B1B">
        <w:rPr>
          <w:sz w:val="20"/>
          <w:szCs w:val="20"/>
        </w:rPr>
        <w:t xml:space="preserve">personāls ir saņēmis atbilstošu informāciju vai </w:t>
      </w:r>
      <w:r w:rsidRPr="00560B1B">
        <w:rPr>
          <w:spacing w:val="-2"/>
          <w:sz w:val="20"/>
          <w:szCs w:val="20"/>
        </w:rPr>
        <w:t>apmācību;</w:t>
      </w:r>
    </w:p>
    <w:p w14:paraId="777BDB8C" w14:textId="098CA0C5" w:rsidR="0012472D" w:rsidRPr="00560B1B" w:rsidRDefault="00A7512C">
      <w:pPr>
        <w:pStyle w:val="ListParagraph"/>
        <w:numPr>
          <w:ilvl w:val="0"/>
          <w:numId w:val="2"/>
        </w:numPr>
        <w:tabs>
          <w:tab w:val="left" w:pos="861"/>
        </w:tabs>
        <w:spacing w:before="1"/>
        <w:rPr>
          <w:sz w:val="20"/>
          <w:szCs w:val="20"/>
        </w:rPr>
      </w:pPr>
      <w:r w:rsidRPr="00560B1B">
        <w:rPr>
          <w:spacing w:val="-2"/>
          <w:sz w:val="20"/>
          <w:szCs w:val="20"/>
        </w:rPr>
        <w:t>konkrētas prakses tiek īstenotas (vai netiek īstenotas) ikdienas darbībā</w:t>
      </w:r>
      <w:r w:rsidR="0023500E" w:rsidRPr="00560B1B">
        <w:rPr>
          <w:spacing w:val="-2"/>
          <w:sz w:val="20"/>
          <w:szCs w:val="20"/>
        </w:rPr>
        <w:t>s</w:t>
      </w:r>
      <w:r w:rsidRPr="00560B1B">
        <w:rPr>
          <w:spacing w:val="-2"/>
          <w:sz w:val="20"/>
          <w:szCs w:val="20"/>
        </w:rPr>
        <w:t>.</w:t>
      </w:r>
    </w:p>
    <w:p w14:paraId="65A293E0" w14:textId="77777777" w:rsidR="0012472D" w:rsidRPr="00560B1B" w:rsidRDefault="0012472D">
      <w:pPr>
        <w:pStyle w:val="ListParagraph"/>
        <w:rPr>
          <w:sz w:val="20"/>
          <w:szCs w:val="20"/>
        </w:rPr>
        <w:sectPr w:rsidR="0012472D" w:rsidRPr="00560B1B">
          <w:pgSz w:w="16840" w:h="11910" w:orient="landscape"/>
          <w:pgMar w:top="1340" w:right="1275" w:bottom="280" w:left="1275" w:header="708" w:footer="708" w:gutter="0"/>
          <w:cols w:space="708"/>
        </w:sectPr>
      </w:pPr>
    </w:p>
    <w:p w14:paraId="290FE88B" w14:textId="3049B979" w:rsidR="0012472D" w:rsidRPr="00560B1B" w:rsidRDefault="00A7512C">
      <w:pPr>
        <w:pStyle w:val="BodyText"/>
        <w:spacing w:before="79" w:line="249" w:lineRule="auto"/>
        <w:ind w:left="140" w:right="113"/>
        <w:jc w:val="both"/>
      </w:pPr>
      <w:r w:rsidRPr="00560B1B">
        <w:lastRenderedPageBreak/>
        <w:t>Intervijas tiek pielāgotas situācijai, tēmai un intervējamajai personai. Tās tiek veiktas darba laikā</w:t>
      </w:r>
      <w:r w:rsidR="006C1CBB" w:rsidRPr="00560B1B">
        <w:t xml:space="preserve">, interviju laikā ievērojot </w:t>
      </w:r>
      <w:r w:rsidRPr="00560B1B">
        <w:t>cieņ</w:t>
      </w:r>
      <w:r w:rsidR="006C1CBB" w:rsidRPr="00560B1B">
        <w:t>pilnu komunikāciju</w:t>
      </w:r>
      <w:r w:rsidRPr="00560B1B">
        <w:t>. Ja nepieciešams</w:t>
      </w:r>
      <w:r w:rsidR="006C1CBB" w:rsidRPr="00560B1B">
        <w:t xml:space="preserve"> godīgu atbilžu saņemšanai</w:t>
      </w:r>
      <w:r w:rsidRPr="00560B1B">
        <w:t xml:space="preserve">, </w:t>
      </w:r>
      <w:r w:rsidR="006C1CBB" w:rsidRPr="00560B1B">
        <w:t>auditori</w:t>
      </w:r>
      <w:r w:rsidRPr="00560B1B">
        <w:t xml:space="preserve"> var intervēt personas privāti un izlases kārtībā. Ja atbilde ir neskaidra, negaidīta vai rada bažas, </w:t>
      </w:r>
      <w:r w:rsidR="006C1CBB" w:rsidRPr="00560B1B">
        <w:t>auditors</w:t>
      </w:r>
      <w:r w:rsidRPr="00560B1B">
        <w:t xml:space="preserve"> var uzdot papildu jautājumus vai intervēt vairākas personas, lai pārbaudītu </w:t>
      </w:r>
      <w:r w:rsidR="006C1CBB" w:rsidRPr="00560B1B">
        <w:t xml:space="preserve">sniegto </w:t>
      </w:r>
      <w:r w:rsidRPr="00560B1B">
        <w:t>informāciju.</w:t>
      </w:r>
    </w:p>
    <w:p w14:paraId="6258F31D" w14:textId="77777777" w:rsidR="0012472D" w:rsidRPr="00560B1B" w:rsidRDefault="0012472D">
      <w:pPr>
        <w:pStyle w:val="BodyText"/>
        <w:spacing w:before="53"/>
      </w:pPr>
    </w:p>
    <w:p w14:paraId="0973787B" w14:textId="28B70A52" w:rsidR="0012472D" w:rsidRPr="00560B1B" w:rsidRDefault="00A7512C">
      <w:pPr>
        <w:pStyle w:val="BodyText"/>
        <w:spacing w:line="249" w:lineRule="auto"/>
        <w:ind w:left="140" w:right="86"/>
      </w:pPr>
      <w:r w:rsidRPr="00560B1B">
        <w:rPr>
          <w:u w:val="single"/>
        </w:rPr>
        <w:t xml:space="preserve">Piemērojamības loģika: </w:t>
      </w:r>
      <w:r w:rsidRPr="00560B1B">
        <w:t xml:space="preserve">nozīmē, ka iestādēm nav jāsniedz pierādījumi, jāveic darbības vai jāīsteno pasākumi situācijās, darbībās vai risku gadījumos, kas nepastāv. Ja atsauksmes vai revīzijas secinājumi norāda uz būtiskiem un </w:t>
      </w:r>
      <w:r w:rsidR="006C1CBB" w:rsidRPr="00560B1B">
        <w:t xml:space="preserve">ar </w:t>
      </w:r>
      <w:r w:rsidRPr="00560B1B">
        <w:t xml:space="preserve">rīcībai </w:t>
      </w:r>
      <w:r w:rsidR="006C1CBB" w:rsidRPr="00560B1B">
        <w:t>saistītiem</w:t>
      </w:r>
      <w:r w:rsidRPr="00560B1B">
        <w:t xml:space="preserve"> jautājumiem, iestādei ir jāveic šādas darbības:</w:t>
      </w:r>
    </w:p>
    <w:p w14:paraId="2DE1AB1A" w14:textId="333267BE" w:rsidR="0012472D" w:rsidRPr="00560B1B" w:rsidRDefault="00A7512C">
      <w:pPr>
        <w:pStyle w:val="ListParagraph"/>
        <w:numPr>
          <w:ilvl w:val="0"/>
          <w:numId w:val="1"/>
        </w:numPr>
        <w:tabs>
          <w:tab w:val="left" w:pos="861"/>
        </w:tabs>
        <w:spacing w:before="2"/>
        <w:rPr>
          <w:sz w:val="20"/>
          <w:szCs w:val="20"/>
        </w:rPr>
      </w:pPr>
      <w:r w:rsidRPr="00560B1B">
        <w:rPr>
          <w:sz w:val="20"/>
          <w:szCs w:val="20"/>
        </w:rPr>
        <w:t>atbilstoš</w:t>
      </w:r>
      <w:r w:rsidR="006C1CBB" w:rsidRPr="00560B1B">
        <w:rPr>
          <w:sz w:val="20"/>
          <w:szCs w:val="20"/>
        </w:rPr>
        <w:t>i</w:t>
      </w:r>
      <w:r w:rsidRPr="00560B1B">
        <w:rPr>
          <w:sz w:val="20"/>
          <w:szCs w:val="20"/>
        </w:rPr>
        <w:t xml:space="preserve"> kor</w:t>
      </w:r>
      <w:r w:rsidR="006C1CBB" w:rsidRPr="00560B1B">
        <w:rPr>
          <w:sz w:val="20"/>
          <w:szCs w:val="20"/>
        </w:rPr>
        <w:t>iģējoši pasākumi</w:t>
      </w:r>
      <w:r w:rsidRPr="00560B1B">
        <w:rPr>
          <w:sz w:val="20"/>
          <w:szCs w:val="20"/>
        </w:rPr>
        <w:t>vai uzlaboj</w:t>
      </w:r>
      <w:r w:rsidRPr="00560B1B">
        <w:rPr>
          <w:spacing w:val="-5"/>
          <w:sz w:val="20"/>
          <w:szCs w:val="20"/>
        </w:rPr>
        <w:t>um</w:t>
      </w:r>
      <w:r w:rsidR="006C1CBB" w:rsidRPr="00560B1B">
        <w:rPr>
          <w:spacing w:val="-5"/>
          <w:sz w:val="20"/>
          <w:szCs w:val="20"/>
        </w:rPr>
        <w:t>i</w:t>
      </w:r>
      <w:r w:rsidRPr="00560B1B">
        <w:rPr>
          <w:sz w:val="20"/>
          <w:szCs w:val="20"/>
        </w:rPr>
        <w:t xml:space="preserve">; </w:t>
      </w:r>
      <w:r w:rsidRPr="00560B1B">
        <w:rPr>
          <w:spacing w:val="-5"/>
          <w:sz w:val="20"/>
          <w:szCs w:val="20"/>
        </w:rPr>
        <w:t>vai</w:t>
      </w:r>
    </w:p>
    <w:p w14:paraId="456DC290" w14:textId="29B8249E" w:rsidR="0012472D" w:rsidRPr="00560B1B" w:rsidRDefault="006C1CBB">
      <w:pPr>
        <w:pStyle w:val="ListParagraph"/>
        <w:numPr>
          <w:ilvl w:val="0"/>
          <w:numId w:val="1"/>
        </w:numPr>
        <w:tabs>
          <w:tab w:val="left" w:pos="860"/>
        </w:tabs>
        <w:spacing w:before="10"/>
        <w:ind w:left="860" w:hanging="359"/>
        <w:rPr>
          <w:sz w:val="20"/>
          <w:szCs w:val="20"/>
        </w:rPr>
      </w:pPr>
      <w:r w:rsidRPr="00560B1B">
        <w:rPr>
          <w:sz w:val="20"/>
          <w:szCs w:val="20"/>
        </w:rPr>
        <w:t xml:space="preserve">skaidrojums, kāpēc šis jautājums nav būtisks vai neattiecas uz programmas </w:t>
      </w:r>
      <w:r w:rsidRPr="00560B1B">
        <w:rPr>
          <w:spacing w:val="-2"/>
          <w:sz w:val="20"/>
          <w:szCs w:val="20"/>
        </w:rPr>
        <w:t>kontekstu.</w:t>
      </w:r>
    </w:p>
    <w:p w14:paraId="1ECDD80B" w14:textId="77777777" w:rsidR="0012472D" w:rsidRPr="00560B1B" w:rsidRDefault="0012472D">
      <w:pPr>
        <w:pStyle w:val="BodyText"/>
        <w:spacing w:before="61"/>
      </w:pPr>
    </w:p>
    <w:p w14:paraId="59E5EDA5" w14:textId="6867E4BE" w:rsidR="0012472D" w:rsidRPr="00560B1B" w:rsidRDefault="00A7512C">
      <w:pPr>
        <w:pStyle w:val="BodyText"/>
        <w:spacing w:line="249" w:lineRule="auto"/>
        <w:ind w:left="140" w:right="86"/>
      </w:pPr>
      <w:r w:rsidRPr="00560B1B">
        <w:t>Ja atgriezeniskajā saiknē nav norādīti nekādi būtiski vai rīcībai pakļauti jautājumi, nav nepieciešama nekāda</w:t>
      </w:r>
      <w:r w:rsidR="006C1CBB" w:rsidRPr="00560B1B">
        <w:t>s sekojošas</w:t>
      </w:r>
      <w:r w:rsidRPr="00560B1B">
        <w:t xml:space="preserve"> rīcība</w:t>
      </w:r>
      <w:r w:rsidR="006C1CBB" w:rsidRPr="00560B1B">
        <w:t>s</w:t>
      </w:r>
      <w:r w:rsidRPr="00560B1B">
        <w:t xml:space="preserve">. Šādos gadījumos iestāde var, ja nepieciešams, sniegt papildu komentārus vai apspriest jautājumu ar </w:t>
      </w:r>
      <w:r w:rsidR="006C1CBB" w:rsidRPr="00560B1B">
        <w:t>auditoru</w:t>
      </w:r>
      <w:r w:rsidRPr="00560B1B">
        <w:t>, lai saņemtu skaidrojumu</w:t>
      </w:r>
      <w:r w:rsidR="006C1CBB" w:rsidRPr="00560B1B">
        <w:t>s</w:t>
      </w:r>
      <w:r w:rsidRPr="00560B1B">
        <w:t>.</w:t>
      </w:r>
    </w:p>
    <w:p w14:paraId="64DAB000" w14:textId="77777777" w:rsidR="0012472D" w:rsidRPr="00560B1B" w:rsidRDefault="0012472D">
      <w:pPr>
        <w:pStyle w:val="BodyText"/>
        <w:spacing w:before="12"/>
      </w:pPr>
    </w:p>
    <w:p w14:paraId="349EE0C5" w14:textId="1D134716" w:rsidR="0012472D" w:rsidRPr="00560B1B" w:rsidRDefault="00A7512C">
      <w:pPr>
        <w:pStyle w:val="BodyText"/>
        <w:ind w:left="140"/>
      </w:pPr>
      <w:r w:rsidRPr="00560B1B">
        <w:rPr>
          <w:b/>
          <w:spacing w:val="-2"/>
          <w:u w:val="single"/>
        </w:rPr>
        <w:t>Būtiskas izmaiņas</w:t>
      </w:r>
      <w:r w:rsidR="00560B1B" w:rsidRPr="00560B1B">
        <w:rPr>
          <w:b/>
          <w:spacing w:val="-2"/>
        </w:rPr>
        <w:t>.</w:t>
      </w:r>
      <w:r w:rsidRPr="00560B1B">
        <w:rPr>
          <w:b/>
          <w:spacing w:val="-2"/>
        </w:rPr>
        <w:t xml:space="preserve"> </w:t>
      </w:r>
      <w:r w:rsidR="00560B1B" w:rsidRPr="00560B1B">
        <w:rPr>
          <w:spacing w:val="-2"/>
        </w:rPr>
        <w:t>N</w:t>
      </w:r>
      <w:r w:rsidRPr="00560B1B">
        <w:rPr>
          <w:spacing w:val="-2"/>
        </w:rPr>
        <w:t>ovirzes, kas pārsniedz 20 % no bāzes līnijas vai paredzamā</w:t>
      </w:r>
      <w:r w:rsidR="006C1CBB" w:rsidRPr="00560B1B">
        <w:rPr>
          <w:spacing w:val="-2"/>
        </w:rPr>
        <w:t>s</w:t>
      </w:r>
      <w:r w:rsidRPr="00560B1B">
        <w:rPr>
          <w:spacing w:val="-2"/>
        </w:rPr>
        <w:t xml:space="preserve"> patēriņa intensitātes (piemēram, par </w:t>
      </w:r>
      <w:r w:rsidR="0037191E" w:rsidRPr="00560B1B">
        <w:rPr>
          <w:spacing w:val="-2"/>
        </w:rPr>
        <w:t>vienu gultasnakti</w:t>
      </w:r>
      <w:r w:rsidRPr="00560B1B">
        <w:rPr>
          <w:spacing w:val="-2"/>
        </w:rPr>
        <w:t>).</w:t>
      </w:r>
    </w:p>
    <w:p w14:paraId="4E21A734" w14:textId="77777777" w:rsidR="0012472D" w:rsidRPr="00560B1B" w:rsidRDefault="0012472D">
      <w:pPr>
        <w:pStyle w:val="BodyText"/>
        <w:spacing w:before="20"/>
      </w:pPr>
    </w:p>
    <w:p w14:paraId="7C185439" w14:textId="28C34325" w:rsidR="0012472D" w:rsidRPr="00560B1B" w:rsidRDefault="00A7512C">
      <w:pPr>
        <w:pStyle w:val="BodyText"/>
        <w:spacing w:line="249" w:lineRule="auto"/>
        <w:ind w:left="140" w:right="86"/>
      </w:pPr>
      <w:r w:rsidRPr="00560B1B">
        <w:rPr>
          <w:b/>
          <w:u w:val="single"/>
        </w:rPr>
        <w:t>Būtiski būvniecības vai renovācijas darbi</w:t>
      </w:r>
      <w:r w:rsidR="00560B1B" w:rsidRPr="00560B1B">
        <w:rPr>
          <w:b/>
        </w:rPr>
        <w:t>.</w:t>
      </w:r>
      <w:r w:rsidRPr="00560B1B">
        <w:rPr>
          <w:b/>
        </w:rPr>
        <w:t xml:space="preserve"> </w:t>
      </w:r>
      <w:r w:rsidR="00560B1B" w:rsidRPr="00560B1B">
        <w:t>I</w:t>
      </w:r>
      <w:r w:rsidRPr="00560B1B">
        <w:t xml:space="preserve">evērojams apbūves platības palielinājums, zemes </w:t>
      </w:r>
      <w:r w:rsidR="006C1CBB" w:rsidRPr="00560B1B">
        <w:t>lietojuma veida</w:t>
      </w:r>
      <w:r w:rsidRPr="00560B1B">
        <w:t xml:space="preserve"> maiņa vai strukturālas izmaiņas</w:t>
      </w:r>
      <w:r w:rsidR="006C1CBB" w:rsidRPr="00560B1B">
        <w:t xml:space="preserve"> būvniecībā</w:t>
      </w:r>
      <w:r w:rsidRPr="00560B1B">
        <w:t>, kas prasa slēgt ievērojamu daļu</w:t>
      </w:r>
      <w:r w:rsidR="006C1CBB" w:rsidRPr="00560B1B">
        <w:t xml:space="preserve"> no iestādes</w:t>
      </w:r>
      <w:r w:rsidRPr="00560B1B">
        <w:t xml:space="preserve"> (vairāk nekā 50 %) vai visu uzņēmumu.</w:t>
      </w:r>
    </w:p>
    <w:p w14:paraId="4C6402D8" w14:textId="77777777" w:rsidR="0012472D" w:rsidRPr="00560B1B" w:rsidRDefault="0012472D">
      <w:pPr>
        <w:pStyle w:val="BodyText"/>
        <w:spacing w:before="11"/>
      </w:pPr>
    </w:p>
    <w:p w14:paraId="33CE0724" w14:textId="2C1FC71F" w:rsidR="0012472D" w:rsidRPr="00560B1B" w:rsidRDefault="00A7512C">
      <w:pPr>
        <w:pStyle w:val="BodyText"/>
        <w:spacing w:before="1"/>
        <w:ind w:left="140"/>
      </w:pPr>
      <w:r w:rsidRPr="00560B1B">
        <w:rPr>
          <w:b/>
          <w:u w:val="single"/>
        </w:rPr>
        <w:t>Minibārs</w:t>
      </w:r>
      <w:r w:rsidR="00560B1B" w:rsidRPr="00560B1B">
        <w:rPr>
          <w:b/>
        </w:rPr>
        <w:t xml:space="preserve">. </w:t>
      </w:r>
      <w:r w:rsidR="00560B1B" w:rsidRPr="00560B1B">
        <w:t>I</w:t>
      </w:r>
      <w:r w:rsidR="006C1CBB" w:rsidRPr="00560B1B">
        <w:t>ekārta</w:t>
      </w:r>
      <w:r w:rsidRPr="00560B1B">
        <w:t xml:space="preserve">, kurā ir pieejami individuāli iepakoti dzērieni un uzkodas, līdzīgi kā kioskā vai tirdzniecības </w:t>
      </w:r>
      <w:r w:rsidRPr="00560B1B">
        <w:rPr>
          <w:spacing w:val="-2"/>
        </w:rPr>
        <w:t>automātā.</w:t>
      </w:r>
    </w:p>
    <w:p w14:paraId="01F4AE6C" w14:textId="77777777" w:rsidR="0012472D" w:rsidRPr="00560B1B" w:rsidRDefault="0012472D">
      <w:pPr>
        <w:pStyle w:val="BodyText"/>
        <w:spacing w:before="19"/>
      </w:pPr>
    </w:p>
    <w:p w14:paraId="22D41D82" w14:textId="3CF3CFC4" w:rsidR="0012472D" w:rsidRPr="00560B1B" w:rsidRDefault="00A7512C">
      <w:pPr>
        <w:pStyle w:val="BodyText"/>
        <w:spacing w:before="1" w:line="252" w:lineRule="auto"/>
        <w:ind w:left="140" w:right="86"/>
      </w:pPr>
      <w:r w:rsidRPr="00560B1B">
        <w:rPr>
          <w:b/>
          <w:u w:val="single"/>
        </w:rPr>
        <w:t>Dabai draudzīgs tūrisms</w:t>
      </w:r>
      <w:r w:rsidR="00560B1B" w:rsidRPr="00560B1B">
        <w:rPr>
          <w:b/>
        </w:rPr>
        <w:t xml:space="preserve">. </w:t>
      </w:r>
      <w:r w:rsidR="00560B1B" w:rsidRPr="00560B1B">
        <w:t>T</w:t>
      </w:r>
      <w:r w:rsidRPr="00560B1B">
        <w:t>ūrisma pieeja, kas aktīvi aizsargā, atjauno un uzlabo bioloģisko daudzveidību, nodrošinot, ka tūrisma aktivitātes veicina izmērāmu ieguvumu dabai, nevis izraisa bioloģiskās daudzveidības zudumu.</w:t>
      </w:r>
    </w:p>
    <w:p w14:paraId="3E7CC784" w14:textId="77777777" w:rsidR="0012472D" w:rsidRPr="00560B1B" w:rsidRDefault="0012472D">
      <w:pPr>
        <w:pStyle w:val="BodyText"/>
        <w:spacing w:before="7"/>
      </w:pPr>
    </w:p>
    <w:p w14:paraId="53FEE1C7" w14:textId="44852EF7" w:rsidR="0012472D" w:rsidRPr="00560B1B" w:rsidRDefault="00A7512C">
      <w:pPr>
        <w:pStyle w:val="Heading3"/>
        <w:ind w:left="140"/>
      </w:pPr>
      <w:r w:rsidRPr="00560B1B">
        <w:rPr>
          <w:w w:val="90"/>
          <w:u w:val="single"/>
        </w:rPr>
        <w:t xml:space="preserve">Valsts tiesību akti un </w:t>
      </w:r>
      <w:r w:rsidR="00AA07AA" w:rsidRPr="00560B1B">
        <w:rPr>
          <w:w w:val="90"/>
          <w:u w:val="single"/>
        </w:rPr>
        <w:t xml:space="preserve">kritēriju </w:t>
      </w:r>
      <w:r w:rsidR="00AA07AA" w:rsidRPr="00560B1B">
        <w:rPr>
          <w:spacing w:val="-2"/>
          <w:w w:val="90"/>
          <w:u w:val="single"/>
        </w:rPr>
        <w:t>adaptācijas</w:t>
      </w:r>
      <w:r w:rsidRPr="00560B1B">
        <w:rPr>
          <w:spacing w:val="-2"/>
          <w:w w:val="90"/>
        </w:rPr>
        <w:t>:</w:t>
      </w:r>
    </w:p>
    <w:p w14:paraId="74286C6D" w14:textId="77777777" w:rsidR="0012472D" w:rsidRPr="00560B1B" w:rsidRDefault="0012472D">
      <w:pPr>
        <w:pStyle w:val="BodyText"/>
        <w:spacing w:before="20"/>
        <w:rPr>
          <w:b/>
        </w:rPr>
      </w:pPr>
    </w:p>
    <w:p w14:paraId="4DD48955" w14:textId="19145FF3" w:rsidR="0012472D" w:rsidRPr="00560B1B" w:rsidRDefault="00A7512C">
      <w:pPr>
        <w:pStyle w:val="BodyText"/>
        <w:ind w:left="501"/>
      </w:pPr>
      <w:r w:rsidRPr="00560B1B">
        <w:rPr>
          <w:b/>
          <w:spacing w:val="-2"/>
        </w:rPr>
        <w:t>Valsts tiesību akti</w:t>
      </w:r>
      <w:r w:rsidR="00560B1B" w:rsidRPr="00560B1B">
        <w:rPr>
          <w:b/>
          <w:spacing w:val="-2"/>
        </w:rPr>
        <w:t xml:space="preserve"> -</w:t>
      </w:r>
      <w:r w:rsidRPr="00560B1B">
        <w:rPr>
          <w:b/>
          <w:spacing w:val="-2"/>
        </w:rPr>
        <w:t xml:space="preserve"> </w:t>
      </w:r>
      <w:r w:rsidRPr="00560B1B">
        <w:rPr>
          <w:spacing w:val="-2"/>
        </w:rPr>
        <w:t>ja valsts tiesību akti ir stingrāki nekā Zaļās atslēgas kritēriji, ir obligāti jāievēro valsts tiesību akti.</w:t>
      </w:r>
    </w:p>
    <w:p w14:paraId="6DA565C1" w14:textId="77777777" w:rsidR="0012472D" w:rsidRPr="00560B1B" w:rsidRDefault="0012472D">
      <w:pPr>
        <w:pStyle w:val="BodyText"/>
        <w:spacing w:before="20"/>
      </w:pPr>
    </w:p>
    <w:p w14:paraId="7D3DA22F" w14:textId="71A6498C" w:rsidR="0012472D" w:rsidRPr="00560B1B" w:rsidRDefault="00AA07AA">
      <w:pPr>
        <w:pStyle w:val="BodyText"/>
        <w:spacing w:line="249" w:lineRule="auto"/>
        <w:ind w:left="501" w:right="86"/>
      </w:pPr>
      <w:r w:rsidRPr="00560B1B">
        <w:rPr>
          <w:b/>
        </w:rPr>
        <w:t>Nacionāla līmeņa kritēriju adaptācijas</w:t>
      </w:r>
      <w:r w:rsidR="00560B1B" w:rsidRPr="00560B1B">
        <w:rPr>
          <w:b/>
        </w:rPr>
        <w:t xml:space="preserve"> -</w:t>
      </w:r>
      <w:r w:rsidRPr="00560B1B">
        <w:rPr>
          <w:b/>
        </w:rPr>
        <w:t xml:space="preserve"> </w:t>
      </w:r>
      <w:r w:rsidRPr="00560B1B">
        <w:t>kritēriju katalogā ir iekļauti konkrētās valstīs piemērojās nacionālās adaptācijas. Ja tādas ir norādītas, uzņēmumiem ir jāatbilst pielāgotajām prasībām.</w:t>
      </w:r>
    </w:p>
    <w:p w14:paraId="4083D5B1" w14:textId="77777777" w:rsidR="0012472D" w:rsidRPr="00560B1B" w:rsidRDefault="0012472D">
      <w:pPr>
        <w:pStyle w:val="BodyText"/>
        <w:spacing w:before="12"/>
      </w:pPr>
    </w:p>
    <w:p w14:paraId="1CA9C171" w14:textId="6FB4B79B" w:rsidR="0012472D" w:rsidRPr="00560B1B" w:rsidRDefault="00A7512C">
      <w:pPr>
        <w:pStyle w:val="BodyText"/>
        <w:spacing w:line="252" w:lineRule="auto"/>
        <w:ind w:left="140" w:right="109"/>
        <w:jc w:val="both"/>
      </w:pPr>
      <w:r w:rsidRPr="00560B1B">
        <w:rPr>
          <w:b/>
          <w:u w:val="single"/>
        </w:rPr>
        <w:t>Ārpakalpojumu sniedzēj</w:t>
      </w:r>
      <w:r w:rsidR="00AA07AA" w:rsidRPr="00560B1B">
        <w:rPr>
          <w:b/>
          <w:u w:val="single"/>
        </w:rPr>
        <w:t>u personāls</w:t>
      </w:r>
      <w:r w:rsidR="00560B1B" w:rsidRPr="00560B1B">
        <w:rPr>
          <w:b/>
        </w:rPr>
        <w:t>.</w:t>
      </w:r>
      <w:r w:rsidRPr="00560B1B">
        <w:rPr>
          <w:b/>
        </w:rPr>
        <w:t xml:space="preserve"> </w:t>
      </w:r>
      <w:r w:rsidR="00560B1B" w:rsidRPr="00560B1B">
        <w:t>P</w:t>
      </w:r>
      <w:r w:rsidRPr="00560B1B">
        <w:t>ersonas, kas veic darbu iestādē, bet ir nodarbinātas ārējā uzņēmumā vai nodarbinātas kā neatkarīgi līgumdarbinieki/</w:t>
      </w:r>
      <w:r w:rsidR="00AA07AA" w:rsidRPr="00560B1B">
        <w:t>ārštata darbinieki</w:t>
      </w:r>
      <w:r w:rsidRPr="00560B1B">
        <w:t>, nevis kā tiešie darbinieki.</w:t>
      </w:r>
    </w:p>
    <w:p w14:paraId="376ED33C" w14:textId="77777777" w:rsidR="0012472D" w:rsidRPr="00560B1B" w:rsidRDefault="0012472D">
      <w:pPr>
        <w:pStyle w:val="BodyText"/>
        <w:spacing w:before="7"/>
      </w:pPr>
    </w:p>
    <w:p w14:paraId="31AA6DB4" w14:textId="5C14B2E8" w:rsidR="0012472D" w:rsidRDefault="00A7512C">
      <w:pPr>
        <w:pStyle w:val="BodyText"/>
        <w:spacing w:before="1" w:line="249" w:lineRule="auto"/>
        <w:ind w:left="140" w:right="114"/>
        <w:jc w:val="both"/>
      </w:pPr>
      <w:r w:rsidRPr="00560B1B">
        <w:rPr>
          <w:b/>
          <w:u w:val="single"/>
        </w:rPr>
        <w:t>Algu un atalgojuma struktūras dokumentācija</w:t>
      </w:r>
      <w:r w:rsidR="00560B1B" w:rsidRPr="00560B1B">
        <w:rPr>
          <w:b/>
          <w:u w:val="single"/>
        </w:rPr>
        <w:t>.</w:t>
      </w:r>
      <w:r w:rsidR="00560B1B" w:rsidRPr="00560B1B">
        <w:rPr>
          <w:b/>
        </w:rPr>
        <w:t xml:space="preserve"> </w:t>
      </w:r>
      <w:r w:rsidR="00560B1B" w:rsidRPr="00560B1B">
        <w:t>O</w:t>
      </w:r>
      <w:r w:rsidRPr="00560B1B">
        <w:t xml:space="preserve">ficiāli iekšējie dokumenti, kas parāda, kā tiek atalgoti darbinieki un kā tiek noteikti atalgojuma līmeņi. Tas </w:t>
      </w:r>
      <w:r w:rsidRPr="00560B1B">
        <w:rPr>
          <w:spacing w:val="-2"/>
        </w:rPr>
        <w:t xml:space="preserve">var ietvert algu kopsavilkumus, algu matricu, atalgojuma skalas, atalgojuma sistēmas vai līdzīgus dokumentus, kuros norādīti atalgojuma līmeņi, amata pienākumi, darba laiks vai darba dienas </w:t>
      </w:r>
      <w:r w:rsidRPr="00560B1B">
        <w:t xml:space="preserve">un piemērojamie atalgojuma kritēriji (piemēram, minimālā alga vai iztikas </w:t>
      </w:r>
      <w:r w:rsidR="00AA07AA" w:rsidRPr="00560B1B">
        <w:t>minimums</w:t>
      </w:r>
      <w:r w:rsidRPr="00560B1B">
        <w:t>). Dokumentācija var tikt iesniegta anonimizētā veidā.</w:t>
      </w:r>
    </w:p>
    <w:p w14:paraId="6F181B25" w14:textId="77777777" w:rsidR="00560B1B" w:rsidRDefault="00560B1B">
      <w:pPr>
        <w:pStyle w:val="BodyText"/>
        <w:spacing w:before="1" w:line="249" w:lineRule="auto"/>
        <w:ind w:left="140" w:right="114"/>
        <w:jc w:val="both"/>
      </w:pPr>
    </w:p>
    <w:p w14:paraId="04A3D692" w14:textId="407EAE56" w:rsidR="0012472D" w:rsidRPr="00560B1B" w:rsidRDefault="0037191E">
      <w:pPr>
        <w:pStyle w:val="Heading3"/>
        <w:ind w:left="140"/>
        <w:jc w:val="both"/>
      </w:pPr>
      <w:r w:rsidRPr="00560B1B">
        <w:rPr>
          <w:w w:val="90"/>
          <w:u w:val="single"/>
        </w:rPr>
        <w:t>Veiktspējas un</w:t>
      </w:r>
      <w:r w:rsidR="00AA07AA" w:rsidRPr="00560B1B">
        <w:rPr>
          <w:w w:val="90"/>
          <w:u w:val="single"/>
        </w:rPr>
        <w:t xml:space="preserve"> uzņēmējdarbības </w:t>
      </w:r>
      <w:r w:rsidR="00AA07AA" w:rsidRPr="00560B1B">
        <w:rPr>
          <w:spacing w:val="-2"/>
          <w:w w:val="90"/>
          <w:u w:val="single"/>
        </w:rPr>
        <w:t>dati:</w:t>
      </w:r>
    </w:p>
    <w:p w14:paraId="1C6B3F09" w14:textId="77777777" w:rsidR="0012472D" w:rsidRPr="00560B1B" w:rsidRDefault="0012472D">
      <w:pPr>
        <w:pStyle w:val="Heading3"/>
        <w:jc w:val="both"/>
        <w:sectPr w:rsidR="0012472D" w:rsidRPr="00560B1B">
          <w:pgSz w:w="16840" w:h="11910" w:orient="landscape"/>
          <w:pgMar w:top="1340" w:right="1275" w:bottom="280" w:left="1275" w:header="708" w:footer="708" w:gutter="0"/>
          <w:cols w:space="708"/>
        </w:sectPr>
      </w:pPr>
    </w:p>
    <w:p w14:paraId="595E0540" w14:textId="77777777" w:rsidR="0012472D" w:rsidRPr="00560B1B" w:rsidRDefault="00A7512C">
      <w:pPr>
        <w:spacing w:before="79"/>
        <w:ind w:left="501"/>
        <w:jc w:val="both"/>
        <w:rPr>
          <w:b/>
          <w:sz w:val="20"/>
          <w:szCs w:val="20"/>
        </w:rPr>
      </w:pPr>
      <w:r w:rsidRPr="00560B1B">
        <w:rPr>
          <w:b/>
          <w:spacing w:val="-2"/>
          <w:sz w:val="20"/>
          <w:szCs w:val="20"/>
        </w:rPr>
        <w:lastRenderedPageBreak/>
        <w:t>Datu iesniegšana</w:t>
      </w:r>
    </w:p>
    <w:p w14:paraId="06FC3EF2" w14:textId="286025F8" w:rsidR="0012472D" w:rsidRPr="00560B1B" w:rsidRDefault="00A7512C">
      <w:pPr>
        <w:pStyle w:val="BodyText"/>
        <w:spacing w:before="10" w:line="249" w:lineRule="auto"/>
        <w:ind w:left="501" w:right="111"/>
        <w:jc w:val="both"/>
      </w:pPr>
      <w:r w:rsidRPr="00560B1B">
        <w:t xml:space="preserve">Kā daļu no </w:t>
      </w:r>
      <w:r w:rsidR="00AA07AA" w:rsidRPr="00560B1B">
        <w:t>Zaļās Atslēgas</w:t>
      </w:r>
      <w:r w:rsidRPr="00560B1B">
        <w:t xml:space="preserve"> pieteikuma un sertifikācijas procesa, iestādēm ir jāiesniedz attiecīgie dati, </w:t>
      </w:r>
      <w:r w:rsidR="009157EA" w:rsidRPr="00560B1B">
        <w:t>kas</w:t>
      </w:r>
      <w:r w:rsidRPr="00560B1B">
        <w:t xml:space="preserve"> nodrošin</w:t>
      </w:r>
      <w:r w:rsidR="009157EA" w:rsidRPr="00560B1B">
        <w:t>a</w:t>
      </w:r>
      <w:r w:rsidRPr="00560B1B">
        <w:t xml:space="preserve"> pārredzamību, atbalst</w:t>
      </w:r>
      <w:r w:rsidR="009157EA" w:rsidRPr="00560B1B">
        <w:t>ā</w:t>
      </w:r>
      <w:r w:rsidRPr="00560B1B">
        <w:t xml:space="preserve"> auditu un ļau</w:t>
      </w:r>
      <w:r w:rsidR="009157EA" w:rsidRPr="00560B1B">
        <w:t>j</w:t>
      </w:r>
      <w:r w:rsidRPr="00560B1B">
        <w:t xml:space="preserve"> veikt darbības uzraudzību. Nepieciešamie datu formāt</w:t>
      </w:r>
      <w:r w:rsidR="009157EA" w:rsidRPr="00560B1B">
        <w:t>i</w:t>
      </w:r>
      <w:r w:rsidRPr="00560B1B">
        <w:t xml:space="preserve"> ir noteikti </w:t>
      </w:r>
      <w:r w:rsidR="009157EA" w:rsidRPr="00560B1B">
        <w:t>no starptautiskās Zaļās Atslēgas programmas</w:t>
      </w:r>
      <w:r w:rsidRPr="00560B1B">
        <w:t xml:space="preserve"> un/vai valsts operatora</w:t>
      </w:r>
      <w:r w:rsidR="009157EA" w:rsidRPr="00560B1B">
        <w:t xml:space="preserve"> puses</w:t>
      </w:r>
      <w:r w:rsidRPr="00560B1B">
        <w:t xml:space="preserve"> un tiek paziņoti pieteikuma </w:t>
      </w:r>
      <w:r w:rsidR="009157EA" w:rsidRPr="00560B1B">
        <w:t>sagatavošanas</w:t>
      </w:r>
      <w:r w:rsidRPr="00560B1B">
        <w:t xml:space="preserve"> posmā.</w:t>
      </w:r>
    </w:p>
    <w:p w14:paraId="16078376" w14:textId="77777777" w:rsidR="0012472D" w:rsidRPr="00560B1B" w:rsidRDefault="0012472D">
      <w:pPr>
        <w:pStyle w:val="BodyText"/>
        <w:spacing w:before="12"/>
      </w:pPr>
    </w:p>
    <w:p w14:paraId="394B0C86" w14:textId="77777777" w:rsidR="0012472D" w:rsidRPr="00560B1B" w:rsidRDefault="00A7512C">
      <w:pPr>
        <w:pStyle w:val="Heading3"/>
      </w:pPr>
      <w:r w:rsidRPr="00560B1B">
        <w:rPr>
          <w:spacing w:val="-2"/>
        </w:rPr>
        <w:t>Datu kategorijas</w:t>
      </w:r>
    </w:p>
    <w:p w14:paraId="0F2C5589" w14:textId="77777777" w:rsidR="0012472D" w:rsidRPr="00560B1B" w:rsidRDefault="00A7512C">
      <w:pPr>
        <w:pStyle w:val="BodyText"/>
        <w:spacing w:before="10"/>
        <w:ind w:left="501"/>
      </w:pPr>
      <w:r w:rsidRPr="00560B1B">
        <w:t xml:space="preserve">Sertifikācijas procesa laikā iestādēm var tikt pieprasīts sniegt šādas </w:t>
      </w:r>
      <w:r w:rsidRPr="00560B1B">
        <w:rPr>
          <w:spacing w:val="-2"/>
        </w:rPr>
        <w:t xml:space="preserve">datu </w:t>
      </w:r>
      <w:r w:rsidRPr="00560B1B">
        <w:t>kategorijas</w:t>
      </w:r>
      <w:r w:rsidRPr="00560B1B">
        <w:rPr>
          <w:spacing w:val="-2"/>
        </w:rPr>
        <w:t>:</w:t>
      </w:r>
    </w:p>
    <w:p w14:paraId="32DA2EFA" w14:textId="77777777" w:rsidR="0012472D" w:rsidRPr="00560B1B" w:rsidRDefault="00A7512C">
      <w:pPr>
        <w:pStyle w:val="ListParagraph"/>
        <w:numPr>
          <w:ilvl w:val="0"/>
          <w:numId w:val="2"/>
        </w:numPr>
        <w:tabs>
          <w:tab w:val="left" w:pos="861"/>
        </w:tabs>
        <w:spacing w:before="12" w:line="243" w:lineRule="exact"/>
        <w:rPr>
          <w:sz w:val="20"/>
          <w:szCs w:val="20"/>
        </w:rPr>
      </w:pPr>
      <w:r w:rsidRPr="00560B1B">
        <w:rPr>
          <w:sz w:val="20"/>
          <w:szCs w:val="20"/>
        </w:rPr>
        <w:t xml:space="preserve">kontaktinformācija (piemēram, uzņēmuma </w:t>
      </w:r>
      <w:r w:rsidRPr="00560B1B">
        <w:rPr>
          <w:spacing w:val="-2"/>
          <w:sz w:val="20"/>
          <w:szCs w:val="20"/>
        </w:rPr>
        <w:t>nosaukums);</w:t>
      </w:r>
    </w:p>
    <w:p w14:paraId="77490E39" w14:textId="77777777" w:rsidR="0012472D" w:rsidRPr="00560B1B" w:rsidRDefault="00A7512C">
      <w:pPr>
        <w:pStyle w:val="ListParagraph"/>
        <w:numPr>
          <w:ilvl w:val="0"/>
          <w:numId w:val="2"/>
        </w:numPr>
        <w:tabs>
          <w:tab w:val="left" w:pos="861"/>
        </w:tabs>
        <w:spacing w:line="243" w:lineRule="exact"/>
        <w:rPr>
          <w:sz w:val="20"/>
          <w:szCs w:val="20"/>
        </w:rPr>
      </w:pPr>
      <w:r w:rsidRPr="00560B1B">
        <w:rPr>
          <w:spacing w:val="-6"/>
          <w:sz w:val="20"/>
          <w:szCs w:val="20"/>
        </w:rPr>
        <w:t>ģeodati (piemēram, adrese, koordinātas);</w:t>
      </w:r>
    </w:p>
    <w:p w14:paraId="48B3A601" w14:textId="77777777" w:rsidR="0012472D" w:rsidRPr="00560B1B" w:rsidRDefault="00A7512C">
      <w:pPr>
        <w:pStyle w:val="ListParagraph"/>
        <w:numPr>
          <w:ilvl w:val="0"/>
          <w:numId w:val="2"/>
        </w:numPr>
        <w:tabs>
          <w:tab w:val="left" w:pos="861"/>
        </w:tabs>
        <w:spacing w:before="2"/>
        <w:rPr>
          <w:sz w:val="20"/>
          <w:szCs w:val="20"/>
        </w:rPr>
      </w:pPr>
      <w:r w:rsidRPr="00560B1B">
        <w:rPr>
          <w:sz w:val="20"/>
          <w:szCs w:val="20"/>
        </w:rPr>
        <w:t xml:space="preserve">ar pieteikumu saistīta informācija (piemēram, kontaktpersonas, </w:t>
      </w:r>
      <w:r w:rsidRPr="00560B1B">
        <w:rPr>
          <w:spacing w:val="-2"/>
          <w:sz w:val="20"/>
          <w:szCs w:val="20"/>
        </w:rPr>
        <w:t xml:space="preserve">darbinieku </w:t>
      </w:r>
      <w:r w:rsidRPr="00560B1B">
        <w:rPr>
          <w:sz w:val="20"/>
          <w:szCs w:val="20"/>
        </w:rPr>
        <w:t>skaits</w:t>
      </w:r>
      <w:r w:rsidRPr="00560B1B">
        <w:rPr>
          <w:spacing w:val="-2"/>
          <w:sz w:val="20"/>
          <w:szCs w:val="20"/>
        </w:rPr>
        <w:t>);</w:t>
      </w:r>
    </w:p>
    <w:p w14:paraId="2EF45399" w14:textId="77777777" w:rsidR="0012472D" w:rsidRPr="00560B1B" w:rsidRDefault="00A7512C">
      <w:pPr>
        <w:pStyle w:val="ListParagraph"/>
        <w:numPr>
          <w:ilvl w:val="0"/>
          <w:numId w:val="2"/>
        </w:numPr>
        <w:tabs>
          <w:tab w:val="left" w:pos="861"/>
        </w:tabs>
        <w:rPr>
          <w:sz w:val="20"/>
          <w:szCs w:val="20"/>
        </w:rPr>
      </w:pPr>
      <w:r w:rsidRPr="00560B1B">
        <w:rPr>
          <w:spacing w:val="-2"/>
          <w:sz w:val="20"/>
          <w:szCs w:val="20"/>
        </w:rPr>
        <w:t xml:space="preserve">uzņēmuma lielums (piemēram, telpu skaits, iekārtas); </w:t>
      </w:r>
      <w:r w:rsidRPr="00560B1B">
        <w:rPr>
          <w:spacing w:val="-5"/>
          <w:sz w:val="20"/>
          <w:szCs w:val="20"/>
        </w:rPr>
        <w:t>un</w:t>
      </w:r>
    </w:p>
    <w:p w14:paraId="6E37E940" w14:textId="77777777" w:rsidR="0012472D" w:rsidRPr="00560B1B" w:rsidRDefault="00A7512C">
      <w:pPr>
        <w:pStyle w:val="ListParagraph"/>
        <w:numPr>
          <w:ilvl w:val="0"/>
          <w:numId w:val="2"/>
        </w:numPr>
        <w:tabs>
          <w:tab w:val="left" w:pos="861"/>
        </w:tabs>
        <w:spacing w:before="1"/>
        <w:rPr>
          <w:sz w:val="20"/>
          <w:szCs w:val="20"/>
        </w:rPr>
      </w:pPr>
      <w:r w:rsidRPr="00560B1B">
        <w:rPr>
          <w:spacing w:val="-4"/>
          <w:sz w:val="20"/>
          <w:szCs w:val="20"/>
        </w:rPr>
        <w:t>darbības rādītāji (piemēram, enerģija, ūdens, atkritumi, siltumnīcefekta gāzu emisijas).</w:t>
      </w:r>
    </w:p>
    <w:p w14:paraId="71FC1FD4" w14:textId="77777777" w:rsidR="0012472D" w:rsidRPr="00560B1B" w:rsidRDefault="0012472D">
      <w:pPr>
        <w:pStyle w:val="BodyText"/>
        <w:spacing w:before="6"/>
      </w:pPr>
    </w:p>
    <w:p w14:paraId="705DF14A" w14:textId="0537045A" w:rsidR="0012472D" w:rsidRPr="00560B1B" w:rsidRDefault="00A7512C">
      <w:pPr>
        <w:pStyle w:val="BodyText"/>
        <w:spacing w:line="249" w:lineRule="auto"/>
        <w:ind w:left="501" w:right="120"/>
        <w:jc w:val="both"/>
      </w:pPr>
      <w:r w:rsidRPr="00560B1B">
        <w:t xml:space="preserve">Katra datu punkta klasifikācija ir obligāta (I) vai ieteicama (G), </w:t>
      </w:r>
      <w:r w:rsidR="009157EA" w:rsidRPr="00560B1B">
        <w:t>atbilstoši</w:t>
      </w:r>
      <w:r w:rsidRPr="00560B1B">
        <w:t xml:space="preserve"> norādīt</w:t>
      </w:r>
      <w:r w:rsidR="009157EA" w:rsidRPr="00560B1B">
        <w:t>ajai informācijai</w:t>
      </w:r>
      <w:r w:rsidRPr="00560B1B">
        <w:t xml:space="preserve"> kritēriju katalogā. Obligātie dati ir jāiesniedz, lai varētu </w:t>
      </w:r>
      <w:r w:rsidR="009157EA" w:rsidRPr="00560B1B">
        <w:t xml:space="preserve">kvalificēties </w:t>
      </w:r>
      <w:r w:rsidRPr="00560B1B">
        <w:t>sertifikā</w:t>
      </w:r>
      <w:r w:rsidR="009157EA" w:rsidRPr="00560B1B">
        <w:t>cijai</w:t>
      </w:r>
      <w:r w:rsidRPr="00560B1B">
        <w:t>. Ieteicamie</w:t>
      </w:r>
      <w:r w:rsidR="009157EA" w:rsidRPr="00560B1B">
        <w:t xml:space="preserve"> jeb vadlīniju kritēriju dati</w:t>
      </w:r>
      <w:r w:rsidRPr="00560B1B">
        <w:t xml:space="preserve"> ir iesnie</w:t>
      </w:r>
      <w:r w:rsidR="009157EA" w:rsidRPr="00560B1B">
        <w:t>dzami</w:t>
      </w:r>
      <w:r w:rsidRPr="00560B1B">
        <w:t xml:space="preserve"> pēc uzņēmuma ieskatiem</w:t>
      </w:r>
      <w:r w:rsidR="009157EA" w:rsidRPr="00560B1B">
        <w:t xml:space="preserve"> un datu pieejamības</w:t>
      </w:r>
      <w:r w:rsidRPr="00560B1B">
        <w:t>. Katram datu punktam ir norādīts nepieciešamais ievades veids (piemēram, skaitlis, teksts), ziņošanas biežums (piemēram, reizi gadā, reizi mēnesī) un vienību opcijas.</w:t>
      </w:r>
    </w:p>
    <w:p w14:paraId="5EFE85AA" w14:textId="77777777" w:rsidR="0012472D" w:rsidRPr="00560B1B" w:rsidRDefault="0012472D">
      <w:pPr>
        <w:pStyle w:val="BodyText"/>
        <w:spacing w:before="13"/>
      </w:pPr>
    </w:p>
    <w:p w14:paraId="655AA63E" w14:textId="77777777" w:rsidR="0012472D" w:rsidRPr="00560B1B" w:rsidRDefault="00A7512C">
      <w:pPr>
        <w:pStyle w:val="Heading3"/>
        <w:jc w:val="both"/>
      </w:pPr>
      <w:r w:rsidRPr="00560B1B">
        <w:rPr>
          <w:w w:val="90"/>
        </w:rPr>
        <w:t xml:space="preserve">Ziņošanas </w:t>
      </w:r>
      <w:r w:rsidRPr="00560B1B">
        <w:rPr>
          <w:spacing w:val="-2"/>
        </w:rPr>
        <w:t>periods</w:t>
      </w:r>
    </w:p>
    <w:p w14:paraId="61A89068" w14:textId="77777777" w:rsidR="0012472D" w:rsidRPr="00560B1B" w:rsidRDefault="00A7512C">
      <w:pPr>
        <w:pStyle w:val="BodyText"/>
        <w:spacing w:before="10" w:line="249" w:lineRule="auto"/>
        <w:ind w:left="501" w:right="115"/>
        <w:jc w:val="both"/>
      </w:pPr>
      <w:r w:rsidRPr="00560B1B">
        <w:t>Visiem iesniegtajiem pieteikuma un darbības datiem jāattiecas uz pilnu kalendāro gadu (12 mēnešiem) pirms pieteikuma iesniegšanas gada (piemēram, 2031. gadā iesniegtie pieteikumi attiecas uz 2030. gada janvāri–decembri). Pirmreizējiem pieteikuma iesniedzējiem ir nepieciešami vismaz 3 mēnešu darbības dati. Jaunatvērtas iestādes var pieteikties sertifikācijai, kad ir pieejami vismaz 3 mēnešu darbības dati pēc atvēršanas.</w:t>
      </w:r>
    </w:p>
    <w:p w14:paraId="1AB8D79A" w14:textId="77777777" w:rsidR="0012472D" w:rsidRPr="00560B1B" w:rsidRDefault="0012472D">
      <w:pPr>
        <w:pStyle w:val="BodyText"/>
        <w:spacing w:before="12"/>
      </w:pPr>
    </w:p>
    <w:p w14:paraId="4033DF0D" w14:textId="220EDCE9" w:rsidR="0012472D" w:rsidRPr="00560B1B" w:rsidRDefault="00A7512C">
      <w:pPr>
        <w:spacing w:before="1"/>
        <w:ind w:left="140"/>
        <w:rPr>
          <w:sz w:val="20"/>
          <w:szCs w:val="20"/>
        </w:rPr>
      </w:pPr>
      <w:r w:rsidRPr="00560B1B">
        <w:rPr>
          <w:b/>
          <w:spacing w:val="-2"/>
          <w:sz w:val="20"/>
          <w:szCs w:val="20"/>
          <w:u w:val="single"/>
        </w:rPr>
        <w:t>Profesionālā/komerciālā virtuve</w:t>
      </w:r>
      <w:r w:rsidR="00560B1B">
        <w:rPr>
          <w:b/>
          <w:spacing w:val="-2"/>
          <w:sz w:val="20"/>
          <w:szCs w:val="20"/>
        </w:rPr>
        <w:t>.</w:t>
      </w:r>
      <w:r w:rsidRPr="00560B1B">
        <w:rPr>
          <w:b/>
          <w:spacing w:val="-2"/>
          <w:sz w:val="20"/>
          <w:szCs w:val="20"/>
        </w:rPr>
        <w:t xml:space="preserve"> </w:t>
      </w:r>
      <w:r w:rsidR="00560B1B">
        <w:rPr>
          <w:spacing w:val="-2"/>
          <w:sz w:val="20"/>
          <w:szCs w:val="20"/>
        </w:rPr>
        <w:t>J</w:t>
      </w:r>
      <w:r w:rsidRPr="00560B1B">
        <w:rPr>
          <w:spacing w:val="-2"/>
          <w:sz w:val="20"/>
          <w:szCs w:val="20"/>
        </w:rPr>
        <w:t>ebkura virtuve, kurā personāls uz vietas gatavo ēdienu klientiem un/vai mazgā traukus, radot taukus, eļļu vai smērvielas.</w:t>
      </w:r>
    </w:p>
    <w:p w14:paraId="2100C0BA" w14:textId="77777777" w:rsidR="0012472D" w:rsidRPr="00560B1B" w:rsidRDefault="0012472D">
      <w:pPr>
        <w:pStyle w:val="BodyText"/>
        <w:spacing w:before="20"/>
      </w:pPr>
    </w:p>
    <w:p w14:paraId="34EE7298" w14:textId="0AA939C5" w:rsidR="0012472D" w:rsidRPr="00560B1B" w:rsidRDefault="00A7512C">
      <w:pPr>
        <w:pStyle w:val="BodyText"/>
        <w:ind w:left="140"/>
      </w:pPr>
      <w:r w:rsidRPr="00560B1B">
        <w:rPr>
          <w:b/>
          <w:spacing w:val="-2"/>
          <w:u w:val="single"/>
        </w:rPr>
        <w:t>Droša</w:t>
      </w:r>
      <w:r w:rsidR="009157EA" w:rsidRPr="00560B1B">
        <w:rPr>
          <w:b/>
          <w:spacing w:val="-2"/>
          <w:u w:val="single"/>
        </w:rPr>
        <w:t>s</w:t>
      </w:r>
      <w:r w:rsidRPr="00560B1B">
        <w:rPr>
          <w:b/>
          <w:spacing w:val="-2"/>
          <w:u w:val="single"/>
        </w:rPr>
        <w:t xml:space="preserve"> atšķaidīšanas sistēma</w:t>
      </w:r>
      <w:r w:rsidR="00560B1B">
        <w:rPr>
          <w:b/>
          <w:spacing w:val="-2"/>
        </w:rPr>
        <w:t>.</w:t>
      </w:r>
      <w:r w:rsidRPr="00560B1B">
        <w:rPr>
          <w:b/>
          <w:spacing w:val="-2"/>
        </w:rPr>
        <w:t xml:space="preserve"> </w:t>
      </w:r>
      <w:r w:rsidR="00560B1B">
        <w:rPr>
          <w:spacing w:val="-2"/>
        </w:rPr>
        <w:t>Ķ</w:t>
      </w:r>
      <w:r w:rsidRPr="00560B1B">
        <w:rPr>
          <w:spacing w:val="-2"/>
        </w:rPr>
        <w:t>īmiskās vielas tiek apstrādātas tā, lai novērstu tiešu saskari ar ādu vai ieelpošanu, izvairītos no noplūdēm un nodrošinātu pareizus atšķaidīšanas proporcijas.</w:t>
      </w:r>
    </w:p>
    <w:p w14:paraId="3AAEEE96" w14:textId="77777777" w:rsidR="0012472D" w:rsidRPr="00560B1B" w:rsidRDefault="0012472D">
      <w:pPr>
        <w:pStyle w:val="BodyText"/>
        <w:spacing w:before="20"/>
      </w:pPr>
    </w:p>
    <w:p w14:paraId="6403C143" w14:textId="0981C5F3" w:rsidR="0012472D" w:rsidRPr="00560B1B" w:rsidRDefault="00A7512C">
      <w:pPr>
        <w:pStyle w:val="BodyText"/>
        <w:spacing w:line="249" w:lineRule="auto"/>
        <w:ind w:left="140" w:right="86"/>
      </w:pPr>
      <w:r w:rsidRPr="00560B1B">
        <w:rPr>
          <w:b/>
          <w:u w:val="single"/>
        </w:rPr>
        <w:t>Paraugu ņemšana</w:t>
      </w:r>
      <w:r w:rsidR="004D4A6A" w:rsidRPr="00560B1B">
        <w:rPr>
          <w:b/>
          <w:u w:val="single"/>
        </w:rPr>
        <w:t xml:space="preserve"> un izlases</w:t>
      </w:r>
      <w:r w:rsidR="00560B1B">
        <w:rPr>
          <w:b/>
        </w:rPr>
        <w:t>.</w:t>
      </w:r>
      <w:r w:rsidRPr="00560B1B">
        <w:rPr>
          <w:b/>
        </w:rPr>
        <w:t xml:space="preserve"> </w:t>
      </w:r>
      <w:r w:rsidR="00560B1B">
        <w:t>M</w:t>
      </w:r>
      <w:r w:rsidRPr="00560B1B">
        <w:t>ērķtiecīgas</w:t>
      </w:r>
      <w:r w:rsidR="004D4A6A" w:rsidRPr="00560B1B">
        <w:t>, auditora uz vietas veiktas</w:t>
      </w:r>
      <w:r w:rsidRPr="00560B1B">
        <w:t xml:space="preserve"> pārbaudes, lai apstiprinātu, ka novērotā, deklarētā vai dokumentētā informācija atbilst patiesībai un darbojas, kā norādīts. Tā nav pilnīga visu vienību vai jomu pārbaude, bet drīzāk vizuāla vai funkcionāla pārbaude, pamatojoties uz paraugiem</w:t>
      </w:r>
      <w:r w:rsidR="004D4A6A" w:rsidRPr="00560B1B">
        <w:t xml:space="preserve"> un izlasēm</w:t>
      </w:r>
      <w:r w:rsidRPr="00560B1B">
        <w:t xml:space="preserve">. </w:t>
      </w:r>
      <w:r w:rsidR="004D4A6A" w:rsidRPr="00560B1B">
        <w:t>Tā</w:t>
      </w:r>
      <w:r w:rsidRPr="00560B1B">
        <w:t xml:space="preserve"> tiek veikta, izmantojot 3 metodikas:</w:t>
      </w:r>
    </w:p>
    <w:p w14:paraId="7F1A2032" w14:textId="77777777" w:rsidR="0012472D" w:rsidRPr="00560B1B" w:rsidRDefault="0012472D">
      <w:pPr>
        <w:pStyle w:val="BodyText"/>
        <w:spacing w:before="11"/>
      </w:pPr>
    </w:p>
    <w:p w14:paraId="28521DD8" w14:textId="0481CC5C" w:rsidR="0012472D" w:rsidRPr="00560B1B" w:rsidRDefault="00A7512C">
      <w:pPr>
        <w:pStyle w:val="Heading3"/>
      </w:pPr>
      <w:r w:rsidRPr="00560B1B">
        <w:rPr>
          <w:w w:val="90"/>
        </w:rPr>
        <w:t xml:space="preserve">Metodika A) Fiziska/platības </w:t>
      </w:r>
      <w:r w:rsidRPr="00560B1B">
        <w:rPr>
          <w:spacing w:val="-2"/>
          <w:w w:val="90"/>
        </w:rPr>
        <w:t>paraugu ņemšana</w:t>
      </w:r>
      <w:r w:rsidR="004D4A6A" w:rsidRPr="00560B1B">
        <w:rPr>
          <w:spacing w:val="-2"/>
          <w:w w:val="90"/>
        </w:rPr>
        <w:t xml:space="preserve"> un izlases</w:t>
      </w:r>
      <w:r w:rsidR="00560B1B">
        <w:rPr>
          <w:spacing w:val="-2"/>
          <w:w w:val="90"/>
        </w:rPr>
        <w:t>.</w:t>
      </w:r>
    </w:p>
    <w:p w14:paraId="714FAEB9" w14:textId="2BD876CB" w:rsidR="0012472D" w:rsidRPr="00560B1B" w:rsidRDefault="004D4A6A">
      <w:pPr>
        <w:pStyle w:val="BodyText"/>
        <w:spacing w:before="11" w:line="249" w:lineRule="auto"/>
        <w:ind w:left="501" w:right="86"/>
      </w:pPr>
      <w:r w:rsidRPr="00560B1B">
        <w:t>Auditors veic vizuālu paraugu ņemšanu un/vai pārbaudes katrā no kritēriju tekstā norādītajām zonām (vismaz 1 zona X, zona XX un zona XX). Ja viesu numuri ir viena no šīm zonām, auditors pēc nejaušas izlases pārbauda viesu numurus, pamatojoties uz uzņēmuma lielumu:</w:t>
      </w:r>
    </w:p>
    <w:p w14:paraId="18EEE572" w14:textId="4C7BC1FF" w:rsidR="0012472D" w:rsidRPr="00560B1B" w:rsidRDefault="00A7512C">
      <w:pPr>
        <w:pStyle w:val="ListParagraph"/>
        <w:numPr>
          <w:ilvl w:val="0"/>
          <w:numId w:val="2"/>
        </w:numPr>
        <w:tabs>
          <w:tab w:val="left" w:pos="861"/>
        </w:tabs>
        <w:spacing w:before="4" w:line="243" w:lineRule="exact"/>
        <w:rPr>
          <w:sz w:val="20"/>
          <w:szCs w:val="20"/>
        </w:rPr>
      </w:pPr>
      <w:r w:rsidRPr="00560B1B">
        <w:rPr>
          <w:sz w:val="20"/>
          <w:szCs w:val="20"/>
        </w:rPr>
        <w:t>1–5 numuri: līdz 2</w:t>
      </w:r>
      <w:r w:rsidR="00560B1B">
        <w:rPr>
          <w:sz w:val="20"/>
          <w:szCs w:val="20"/>
        </w:rPr>
        <w:t xml:space="preserve"> (diviem)</w:t>
      </w:r>
      <w:r w:rsidRPr="00560B1B">
        <w:rPr>
          <w:sz w:val="20"/>
          <w:szCs w:val="20"/>
        </w:rPr>
        <w:t xml:space="preserve"> </w:t>
      </w:r>
      <w:r w:rsidRPr="00560B1B">
        <w:rPr>
          <w:spacing w:val="-4"/>
          <w:sz w:val="20"/>
          <w:szCs w:val="20"/>
        </w:rPr>
        <w:t>numuriem</w:t>
      </w:r>
    </w:p>
    <w:p w14:paraId="1FE51205" w14:textId="7A24240D" w:rsidR="0012472D" w:rsidRPr="00560B1B" w:rsidRDefault="00A7512C">
      <w:pPr>
        <w:pStyle w:val="ListParagraph"/>
        <w:numPr>
          <w:ilvl w:val="0"/>
          <w:numId w:val="2"/>
        </w:numPr>
        <w:tabs>
          <w:tab w:val="left" w:pos="861"/>
        </w:tabs>
        <w:spacing w:line="243" w:lineRule="exact"/>
        <w:rPr>
          <w:sz w:val="20"/>
          <w:szCs w:val="20"/>
        </w:rPr>
      </w:pPr>
      <w:r w:rsidRPr="00560B1B">
        <w:rPr>
          <w:sz w:val="20"/>
          <w:szCs w:val="20"/>
        </w:rPr>
        <w:t>6–50 numuri: 3</w:t>
      </w:r>
      <w:r w:rsidR="00560B1B">
        <w:rPr>
          <w:sz w:val="20"/>
          <w:szCs w:val="20"/>
        </w:rPr>
        <w:t xml:space="preserve"> (trīs)</w:t>
      </w:r>
      <w:r w:rsidRPr="00560B1B">
        <w:rPr>
          <w:sz w:val="20"/>
          <w:szCs w:val="20"/>
        </w:rPr>
        <w:t xml:space="preserve"> </w:t>
      </w:r>
      <w:r w:rsidRPr="00560B1B">
        <w:rPr>
          <w:spacing w:val="-4"/>
          <w:sz w:val="20"/>
          <w:szCs w:val="20"/>
        </w:rPr>
        <w:t>numuri</w:t>
      </w:r>
    </w:p>
    <w:p w14:paraId="31F107DC" w14:textId="7DD8C933" w:rsidR="0012472D" w:rsidRPr="00560B1B" w:rsidRDefault="00A7512C">
      <w:pPr>
        <w:pStyle w:val="ListParagraph"/>
        <w:numPr>
          <w:ilvl w:val="0"/>
          <w:numId w:val="2"/>
        </w:numPr>
        <w:tabs>
          <w:tab w:val="left" w:pos="861"/>
        </w:tabs>
        <w:rPr>
          <w:sz w:val="20"/>
          <w:szCs w:val="20"/>
        </w:rPr>
      </w:pPr>
      <w:r w:rsidRPr="00560B1B">
        <w:rPr>
          <w:sz w:val="20"/>
          <w:szCs w:val="20"/>
        </w:rPr>
        <w:t>51–150 numuri: 4</w:t>
      </w:r>
      <w:r w:rsidR="00560B1B">
        <w:rPr>
          <w:sz w:val="20"/>
          <w:szCs w:val="20"/>
        </w:rPr>
        <w:t xml:space="preserve"> (četri)</w:t>
      </w:r>
      <w:r w:rsidRPr="00560B1B">
        <w:rPr>
          <w:sz w:val="20"/>
          <w:szCs w:val="20"/>
        </w:rPr>
        <w:t xml:space="preserve"> </w:t>
      </w:r>
      <w:r w:rsidRPr="00560B1B">
        <w:rPr>
          <w:spacing w:val="-4"/>
          <w:sz w:val="20"/>
          <w:szCs w:val="20"/>
        </w:rPr>
        <w:t>numuri</w:t>
      </w:r>
    </w:p>
    <w:p w14:paraId="06C745B0" w14:textId="20E9CE83" w:rsidR="0012472D" w:rsidRPr="00560B1B" w:rsidRDefault="00A7512C">
      <w:pPr>
        <w:pStyle w:val="ListParagraph"/>
        <w:numPr>
          <w:ilvl w:val="0"/>
          <w:numId w:val="2"/>
        </w:numPr>
        <w:tabs>
          <w:tab w:val="left" w:pos="861"/>
        </w:tabs>
        <w:spacing w:before="1"/>
        <w:rPr>
          <w:sz w:val="20"/>
          <w:szCs w:val="20"/>
        </w:rPr>
      </w:pPr>
      <w:r w:rsidRPr="00560B1B">
        <w:rPr>
          <w:sz w:val="20"/>
          <w:szCs w:val="20"/>
        </w:rPr>
        <w:t xml:space="preserve">Vairāk nekā 150 </w:t>
      </w:r>
      <w:r w:rsidR="004D4A6A" w:rsidRPr="00560B1B">
        <w:rPr>
          <w:sz w:val="20"/>
          <w:szCs w:val="20"/>
        </w:rPr>
        <w:t>numuri</w:t>
      </w:r>
      <w:r w:rsidRPr="00560B1B">
        <w:rPr>
          <w:sz w:val="20"/>
          <w:szCs w:val="20"/>
        </w:rPr>
        <w:t xml:space="preserve">: vismaz 5 </w:t>
      </w:r>
      <w:r w:rsidR="00560B1B">
        <w:rPr>
          <w:sz w:val="20"/>
          <w:szCs w:val="20"/>
        </w:rPr>
        <w:t xml:space="preserve">(pieci) </w:t>
      </w:r>
      <w:r w:rsidR="004D4A6A" w:rsidRPr="00560B1B">
        <w:rPr>
          <w:sz w:val="20"/>
          <w:szCs w:val="20"/>
        </w:rPr>
        <w:t>numuri</w:t>
      </w:r>
      <w:r w:rsidRPr="00560B1B">
        <w:rPr>
          <w:sz w:val="20"/>
          <w:szCs w:val="20"/>
        </w:rPr>
        <w:t xml:space="preserve"> (vajadzības gadījumā var pārbaudīt papildu telpas/zonas, piemēram, vairākus spārnus, ēkas vai </w:t>
      </w:r>
      <w:r w:rsidRPr="00560B1B">
        <w:rPr>
          <w:spacing w:val="-2"/>
          <w:sz w:val="20"/>
          <w:szCs w:val="20"/>
        </w:rPr>
        <w:t>sistēmas).</w:t>
      </w:r>
    </w:p>
    <w:p w14:paraId="25C91E59" w14:textId="77777777" w:rsidR="0012472D" w:rsidRPr="00560B1B" w:rsidRDefault="0012472D">
      <w:pPr>
        <w:pStyle w:val="ListParagraph"/>
        <w:rPr>
          <w:sz w:val="20"/>
          <w:szCs w:val="20"/>
        </w:rPr>
        <w:sectPr w:rsidR="0012472D" w:rsidRPr="00560B1B">
          <w:pgSz w:w="16840" w:h="11910" w:orient="landscape"/>
          <w:pgMar w:top="1340" w:right="1275" w:bottom="280" w:left="1275" w:header="708" w:footer="708" w:gutter="0"/>
          <w:cols w:space="708"/>
        </w:sectPr>
      </w:pPr>
    </w:p>
    <w:p w14:paraId="2F9DF2A8" w14:textId="69937728" w:rsidR="0012472D" w:rsidRPr="00560B1B" w:rsidRDefault="00A7512C">
      <w:pPr>
        <w:pStyle w:val="Heading3"/>
        <w:spacing w:before="79"/>
      </w:pPr>
      <w:r w:rsidRPr="00560B1B">
        <w:rPr>
          <w:spacing w:val="-6"/>
        </w:rPr>
        <w:lastRenderedPageBreak/>
        <w:t>Metodika B) Funkcionāla/ekspluatācijas pār</w:t>
      </w:r>
      <w:r w:rsidRPr="00560B1B">
        <w:rPr>
          <w:spacing w:val="-4"/>
        </w:rPr>
        <w:t>ba</w:t>
      </w:r>
      <w:r w:rsidRPr="00560B1B">
        <w:rPr>
          <w:spacing w:val="-6"/>
        </w:rPr>
        <w:t>ude</w:t>
      </w:r>
      <w:r w:rsidR="00560B1B">
        <w:rPr>
          <w:spacing w:val="-6"/>
        </w:rPr>
        <w:t>.</w:t>
      </w:r>
    </w:p>
    <w:p w14:paraId="5972E4F5" w14:textId="32CC9548" w:rsidR="0012472D" w:rsidRPr="00560B1B" w:rsidRDefault="00A7512C">
      <w:pPr>
        <w:pStyle w:val="BodyText"/>
        <w:spacing w:before="10" w:line="249" w:lineRule="auto"/>
        <w:ind w:left="501" w:right="86"/>
      </w:pPr>
      <w:r w:rsidRPr="00560B1B">
        <w:t xml:space="preserve">Paraugu ņemšana zonās/telpās (pamatojoties uz paraugu ņemšanas </w:t>
      </w:r>
      <w:r w:rsidR="004D4A6A" w:rsidRPr="00560B1B">
        <w:t>un izlases</w:t>
      </w:r>
      <w:r w:rsidRPr="00560B1B">
        <w:t>metodiku A) auditors pārbauda sistēmu/ierīču darbību, ja iespējams, tās darbinot (piemēram, atverot logus/durvis, iedarbinot sensorus, izmantojot ierīces, palaistot ūdeni), lai apstiprinātu to pareizu darbību un atbilstību.</w:t>
      </w:r>
    </w:p>
    <w:p w14:paraId="27C66140" w14:textId="77777777" w:rsidR="0012472D" w:rsidRPr="00560B1B" w:rsidRDefault="0012472D">
      <w:pPr>
        <w:pStyle w:val="BodyText"/>
        <w:spacing w:before="11"/>
      </w:pPr>
    </w:p>
    <w:p w14:paraId="008D8A5A" w14:textId="4B2823DB" w:rsidR="0012472D" w:rsidRPr="00560B1B" w:rsidRDefault="00A7512C">
      <w:pPr>
        <w:pStyle w:val="Heading3"/>
        <w:spacing w:before="1"/>
      </w:pPr>
      <w:r w:rsidRPr="00560B1B">
        <w:rPr>
          <w:spacing w:val="-6"/>
        </w:rPr>
        <w:t>Metodika C) Dokumentācijas/pierādījumu paraugu ņemšana</w:t>
      </w:r>
      <w:r w:rsidR="00251CF8" w:rsidRPr="00560B1B">
        <w:rPr>
          <w:spacing w:val="-6"/>
        </w:rPr>
        <w:t xml:space="preserve"> izlases kārtībā</w:t>
      </w:r>
      <w:r w:rsidR="00560B1B">
        <w:rPr>
          <w:spacing w:val="-6"/>
        </w:rPr>
        <w:t>.</w:t>
      </w:r>
    </w:p>
    <w:p w14:paraId="510157B7" w14:textId="4F136595" w:rsidR="0012472D" w:rsidRPr="00560B1B" w:rsidRDefault="00251CF8">
      <w:pPr>
        <w:pStyle w:val="BodyText"/>
        <w:spacing w:before="10" w:line="249" w:lineRule="auto"/>
        <w:ind w:left="501" w:right="86"/>
      </w:pPr>
      <w:r w:rsidRPr="00560B1B">
        <w:t>Auditors pārbauda 3 paraugus no kritērijam atbilstošajiem apliecinošajiem dokumentiem/priekšmetiem (piemēram, rēķini, žurnāli, līgumi, sertifikāti, pirkumu uzskaites dokumenti, fotogrāfijas, sistēmas izraksti). Ja ir iesaistīti vairāki gadi, vietas, sistēmas, kategorijas vai piegādātāji, paraugs tiek izvēlēts tā, lai atspoguļotu izkliedi.</w:t>
      </w:r>
    </w:p>
    <w:p w14:paraId="3B8EEA16" w14:textId="77777777" w:rsidR="0012472D" w:rsidRPr="00560B1B" w:rsidRDefault="0012472D">
      <w:pPr>
        <w:pStyle w:val="BodyText"/>
        <w:spacing w:before="11"/>
      </w:pPr>
    </w:p>
    <w:p w14:paraId="74B734CA" w14:textId="46D3651C" w:rsidR="0012472D" w:rsidRPr="00560B1B" w:rsidRDefault="00A7512C">
      <w:pPr>
        <w:pStyle w:val="BodyText"/>
        <w:spacing w:line="249" w:lineRule="auto"/>
        <w:ind w:left="140" w:right="111"/>
        <w:jc w:val="both"/>
      </w:pPr>
      <w:r w:rsidRPr="00560B1B">
        <w:rPr>
          <w:b/>
          <w:spacing w:val="-2"/>
          <w:u w:val="single"/>
        </w:rPr>
        <w:t>Standarta darbības procedūra (SOP)</w:t>
      </w:r>
      <w:r w:rsidR="00560B1B" w:rsidRPr="00560B1B">
        <w:rPr>
          <w:b/>
          <w:spacing w:val="-2"/>
        </w:rPr>
        <w:t xml:space="preserve">. </w:t>
      </w:r>
      <w:r w:rsidR="00560B1B" w:rsidRPr="00560B1B">
        <w:rPr>
          <w:spacing w:val="-2"/>
        </w:rPr>
        <w:t>R</w:t>
      </w:r>
      <w:r w:rsidRPr="00560B1B">
        <w:rPr>
          <w:spacing w:val="-2"/>
        </w:rPr>
        <w:t xml:space="preserve">akstiskas un detalizētas instrukcijas, kas apraksta soļus, kas jāievēro, </w:t>
      </w:r>
      <w:r w:rsidR="00251CF8" w:rsidRPr="00560B1B">
        <w:rPr>
          <w:spacing w:val="-2"/>
        </w:rPr>
        <w:t>veicot</w:t>
      </w:r>
      <w:r w:rsidRPr="00560B1B">
        <w:rPr>
          <w:spacing w:val="-2"/>
        </w:rPr>
        <w:t xml:space="preserve"> ikdienas vai atkārtot</w:t>
      </w:r>
      <w:r w:rsidR="00251CF8" w:rsidRPr="00560B1B">
        <w:rPr>
          <w:spacing w:val="-2"/>
        </w:rPr>
        <w:t>u</w:t>
      </w:r>
      <w:r w:rsidRPr="00560B1B">
        <w:rPr>
          <w:spacing w:val="-2"/>
        </w:rPr>
        <w:t xml:space="preserve">s uzdevumus konsekventā, </w:t>
      </w:r>
      <w:r w:rsidRPr="00560B1B">
        <w:t xml:space="preserve">drošā </w:t>
      </w:r>
      <w:r w:rsidR="00251CF8" w:rsidRPr="00560B1B">
        <w:t>veidā, nodrošinot kvalitātes kontroli</w:t>
      </w:r>
      <w:r w:rsidRPr="00560B1B">
        <w:t>. Viesmīlības nozarē SOP pārvērš politikas mērķus ikdienas praksē</w:t>
      </w:r>
      <w:r w:rsidR="00251CF8" w:rsidRPr="00560B1B">
        <w:t>s</w:t>
      </w:r>
      <w:r w:rsidRPr="00560B1B">
        <w:t>, nodrošinot</w:t>
      </w:r>
      <w:r w:rsidR="00251CF8" w:rsidRPr="00560B1B">
        <w:t xml:space="preserve"> </w:t>
      </w:r>
      <w:r w:rsidRPr="00560B1B">
        <w:t>personāl</w:t>
      </w:r>
      <w:r w:rsidR="00251CF8" w:rsidRPr="00560B1B">
        <w:t>a informētību un izpratni</w:t>
      </w:r>
      <w:r w:rsidRPr="00560B1B">
        <w:t xml:space="preserve">, kā uzticami īstenot standartus visās maiņās, nodaļās un </w:t>
      </w:r>
      <w:r w:rsidR="00251CF8" w:rsidRPr="00560B1B">
        <w:t>atbildības jomās</w:t>
      </w:r>
      <w:r w:rsidRPr="00560B1B">
        <w:t>.</w:t>
      </w:r>
    </w:p>
    <w:p w14:paraId="337131AE" w14:textId="77777777" w:rsidR="0012472D" w:rsidRPr="00560B1B" w:rsidRDefault="0012472D">
      <w:pPr>
        <w:pStyle w:val="BodyText"/>
        <w:spacing w:before="13"/>
      </w:pPr>
    </w:p>
    <w:p w14:paraId="188BA346" w14:textId="683B6534" w:rsidR="0012472D" w:rsidRPr="00560B1B" w:rsidRDefault="00A7512C">
      <w:pPr>
        <w:ind w:left="140"/>
        <w:jc w:val="both"/>
        <w:rPr>
          <w:sz w:val="20"/>
          <w:szCs w:val="20"/>
        </w:rPr>
      </w:pPr>
      <w:r w:rsidRPr="00560B1B">
        <w:rPr>
          <w:b/>
          <w:spacing w:val="-4"/>
          <w:sz w:val="20"/>
          <w:szCs w:val="20"/>
          <w:u w:val="single"/>
        </w:rPr>
        <w:t>Stratēģiskie ilgtspējas mērķi</w:t>
      </w:r>
      <w:r w:rsidR="00560B1B">
        <w:rPr>
          <w:b/>
          <w:spacing w:val="-4"/>
          <w:sz w:val="20"/>
          <w:szCs w:val="20"/>
        </w:rPr>
        <w:t xml:space="preserve">. </w:t>
      </w:r>
      <w:r w:rsidR="00560B1B">
        <w:rPr>
          <w:spacing w:val="-4"/>
          <w:sz w:val="20"/>
          <w:szCs w:val="20"/>
        </w:rPr>
        <w:t>I</w:t>
      </w:r>
      <w:r w:rsidRPr="00560B1B">
        <w:rPr>
          <w:spacing w:val="-4"/>
          <w:sz w:val="20"/>
          <w:szCs w:val="20"/>
        </w:rPr>
        <w:t>lgtermiņa, izmērāmi mērķi, ko uzņēmums izvirza, lai vadītu savu ilgtspējas sniegumu un nepārtrauktu</w:t>
      </w:r>
      <w:r w:rsidR="00C71C56" w:rsidRPr="00560B1B">
        <w:rPr>
          <w:spacing w:val="-4"/>
          <w:sz w:val="20"/>
          <w:szCs w:val="20"/>
        </w:rPr>
        <w:t>s</w:t>
      </w:r>
      <w:r w:rsidRPr="00560B1B">
        <w:rPr>
          <w:spacing w:val="-4"/>
          <w:sz w:val="20"/>
          <w:szCs w:val="20"/>
        </w:rPr>
        <w:t xml:space="preserve"> uzlabo</w:t>
      </w:r>
      <w:r w:rsidR="00C71C56" w:rsidRPr="00560B1B">
        <w:rPr>
          <w:spacing w:val="-4"/>
          <w:sz w:val="20"/>
          <w:szCs w:val="20"/>
        </w:rPr>
        <w:t>jumus</w:t>
      </w:r>
      <w:r w:rsidRPr="00560B1B">
        <w:rPr>
          <w:spacing w:val="-4"/>
          <w:sz w:val="20"/>
          <w:szCs w:val="20"/>
        </w:rPr>
        <w:t>.</w:t>
      </w:r>
    </w:p>
    <w:p w14:paraId="40037DB6" w14:textId="77777777" w:rsidR="0012472D" w:rsidRPr="00560B1B" w:rsidRDefault="0012472D">
      <w:pPr>
        <w:pStyle w:val="BodyText"/>
        <w:spacing w:before="20"/>
      </w:pPr>
    </w:p>
    <w:p w14:paraId="60FA7B51" w14:textId="15913767" w:rsidR="0012472D" w:rsidRPr="00560B1B" w:rsidRDefault="00A7512C">
      <w:pPr>
        <w:pStyle w:val="BodyText"/>
        <w:spacing w:line="249" w:lineRule="auto"/>
        <w:ind w:left="140" w:right="111"/>
        <w:jc w:val="both"/>
      </w:pPr>
      <w:r w:rsidRPr="00560B1B">
        <w:rPr>
          <w:b/>
          <w:u w:val="single"/>
        </w:rPr>
        <w:t xml:space="preserve">Līdzņemamā </w:t>
      </w:r>
      <w:r w:rsidRPr="00560B1B">
        <w:rPr>
          <w:b/>
          <w:bCs/>
        </w:rPr>
        <w:t>pārtika</w:t>
      </w:r>
      <w:r w:rsidR="00560B1B">
        <w:rPr>
          <w:b/>
        </w:rPr>
        <w:t>.</w:t>
      </w:r>
      <w:r w:rsidRPr="00560B1B">
        <w:t xml:space="preserve"> </w:t>
      </w:r>
      <w:r w:rsidR="00560B1B">
        <w:t>Ē</w:t>
      </w:r>
      <w:r w:rsidRPr="00560B1B">
        <w:t>dien</w:t>
      </w:r>
      <w:r w:rsidR="00BF60E5" w:rsidRPr="00560B1B">
        <w:t>i</w:t>
      </w:r>
      <w:r w:rsidRPr="00560B1B">
        <w:t xml:space="preserve"> vai dzērien</w:t>
      </w:r>
      <w:r w:rsidR="00BF60E5" w:rsidRPr="00560B1B">
        <w:t>i</w:t>
      </w:r>
      <w:r w:rsidRPr="00560B1B">
        <w:t xml:space="preserve">, ko pagatavo uzņēmums un pasniedz viesiem pārnēsājamos traukos, lai tos patērētu ārpus ēkas </w:t>
      </w:r>
      <w:r w:rsidRPr="00560B1B">
        <w:rPr>
          <w:spacing w:val="-2"/>
        </w:rPr>
        <w:t>vai norādīt</w:t>
      </w:r>
      <w:r w:rsidR="00BF60E5" w:rsidRPr="00560B1B">
        <w:rPr>
          <w:spacing w:val="-2"/>
        </w:rPr>
        <w:t>ajām</w:t>
      </w:r>
      <w:r w:rsidRPr="00560B1B">
        <w:rPr>
          <w:spacing w:val="-2"/>
        </w:rPr>
        <w:t xml:space="preserve"> ēdamzāles zonā</w:t>
      </w:r>
      <w:r w:rsidR="00BF60E5" w:rsidRPr="00560B1B">
        <w:rPr>
          <w:spacing w:val="-2"/>
        </w:rPr>
        <w:t>m</w:t>
      </w:r>
      <w:r w:rsidRPr="00560B1B">
        <w:rPr>
          <w:spacing w:val="-2"/>
        </w:rPr>
        <w:t xml:space="preserve">. Līdzņemamā pārtika ir paredzēta, lai viesis to varētu paņemt līdzi, piemēram, uz teritoriju (piemēram, dārzu, zālāju, atrakciju </w:t>
      </w:r>
      <w:r w:rsidRPr="00560B1B">
        <w:t>parku) vai ārpus tās, un to nepasniedz, izmantojot standarta ēdamzāles traukus.</w:t>
      </w:r>
    </w:p>
    <w:p w14:paraId="0459C838" w14:textId="77777777" w:rsidR="0012472D" w:rsidRPr="00560B1B" w:rsidRDefault="0012472D">
      <w:pPr>
        <w:pStyle w:val="BodyText"/>
        <w:spacing w:before="13"/>
      </w:pPr>
    </w:p>
    <w:p w14:paraId="0362AE24" w14:textId="7E747504" w:rsidR="0012472D" w:rsidRPr="00560B1B" w:rsidRDefault="00A7512C">
      <w:pPr>
        <w:pStyle w:val="BodyText"/>
        <w:spacing w:line="249" w:lineRule="auto"/>
        <w:ind w:left="140" w:right="113"/>
        <w:jc w:val="both"/>
      </w:pPr>
      <w:r w:rsidRPr="00560B1B">
        <w:rPr>
          <w:b/>
          <w:u w:val="single"/>
        </w:rPr>
        <w:t>Temperatūras diapazons</w:t>
      </w:r>
      <w:r w:rsidR="00560B1B">
        <w:rPr>
          <w:b/>
        </w:rPr>
        <w:t>.</w:t>
      </w:r>
      <w:r w:rsidRPr="00560B1B">
        <w:rPr>
          <w:b/>
        </w:rPr>
        <w:t xml:space="preserve"> </w:t>
      </w:r>
      <w:r w:rsidR="00560B1B">
        <w:t>K</w:t>
      </w:r>
      <w:r w:rsidRPr="00560B1B">
        <w:t xml:space="preserve">onkrēts temperatūras diapazons, kurā noteiktas sistēmas, piemēram, HVAC, tiek izmantotas darbības efektivitātes nodrošināšanai. Bieži tiek definēts ar neaktīvo </w:t>
      </w:r>
      <w:r w:rsidR="00BF60E5" w:rsidRPr="00560B1B">
        <w:t>temperatūras joslu</w:t>
      </w:r>
      <w:r w:rsidRPr="00560B1B">
        <w:t>, lai novērstu sildīšanas un dzesēšanas sistēmu biežu ciklisko darbību un tādējādi ietaupītu enerģiju.</w:t>
      </w:r>
    </w:p>
    <w:p w14:paraId="7BBF4B7A" w14:textId="77777777" w:rsidR="0012472D" w:rsidRPr="00560B1B" w:rsidRDefault="0012472D">
      <w:pPr>
        <w:pStyle w:val="BodyText"/>
        <w:spacing w:before="12"/>
      </w:pPr>
    </w:p>
    <w:p w14:paraId="74BF948F" w14:textId="284C339F" w:rsidR="0012472D" w:rsidRPr="00560B1B" w:rsidRDefault="00A7512C">
      <w:pPr>
        <w:pStyle w:val="BodyText"/>
        <w:spacing w:line="249" w:lineRule="auto"/>
        <w:ind w:left="140" w:right="114"/>
        <w:jc w:val="both"/>
      </w:pPr>
      <w:r w:rsidRPr="00560B1B">
        <w:rPr>
          <w:b/>
          <w:u w:val="single"/>
        </w:rPr>
        <w:t>Apmācība</w:t>
      </w:r>
      <w:r w:rsidR="00560B1B">
        <w:rPr>
          <w:b/>
        </w:rPr>
        <w:t>.</w:t>
      </w:r>
      <w:r w:rsidRPr="00560B1B">
        <w:rPr>
          <w:b/>
        </w:rPr>
        <w:t xml:space="preserve"> </w:t>
      </w:r>
      <w:r w:rsidR="00560B1B">
        <w:t>S</w:t>
      </w:r>
      <w:r w:rsidRPr="00560B1B">
        <w:t xml:space="preserve">trukturēta </w:t>
      </w:r>
      <w:r w:rsidR="00A668F2" w:rsidRPr="00560B1B">
        <w:t>izglītojoša</w:t>
      </w:r>
      <w:r w:rsidRPr="00560B1B">
        <w:t xml:space="preserve"> aktivitāte, kas nodrošina </w:t>
      </w:r>
      <w:r w:rsidR="00A668F2" w:rsidRPr="00560B1B">
        <w:t>darbiniekiem</w:t>
      </w:r>
      <w:r w:rsidRPr="00560B1B">
        <w:t xml:space="preserve"> zināšanas vai prasmes, kas saistītas ar ilgtspējību vai darbības praks</w:t>
      </w:r>
      <w:r w:rsidR="00A668F2" w:rsidRPr="00560B1B">
        <w:t>ēm</w:t>
      </w:r>
      <w:r w:rsidRPr="00560B1B">
        <w:t xml:space="preserve">, un tiek </w:t>
      </w:r>
      <w:r w:rsidR="00A668F2" w:rsidRPr="00560B1B">
        <w:t xml:space="preserve">īstenota </w:t>
      </w:r>
      <w:r w:rsidRPr="00560B1B">
        <w:t>organizētu apmācību</w:t>
      </w:r>
      <w:r w:rsidR="00A668F2" w:rsidRPr="00560B1B">
        <w:t xml:space="preserve"> veidā</w:t>
      </w:r>
      <w:r w:rsidRPr="00560B1B">
        <w:t xml:space="preserve">. Lai apmācība būtu atbilstoša, tai jāilgst vismaz 30 minūtes. Apmācības aktivitātes un sanāksmes, kas nepieciešamas </w:t>
      </w:r>
      <w:r w:rsidR="00A668F2" w:rsidRPr="00560B1B">
        <w:t>Zaļās Atslēgas</w:t>
      </w:r>
      <w:r w:rsidRPr="00560B1B">
        <w:t xml:space="preserve"> kritērij</w:t>
      </w:r>
      <w:r w:rsidR="00A668F2" w:rsidRPr="00560B1B">
        <w:t>u ieviešanai</w:t>
      </w:r>
      <w:r w:rsidRPr="00560B1B">
        <w:t>, notiek apmaksātajā darba laikā. Dalība šādās aktivitātēs nedrīkst radīt papildu darba slodzi, neapmaksātu</w:t>
      </w:r>
      <w:r w:rsidR="00A668F2" w:rsidRPr="00560B1B">
        <w:t xml:space="preserve"> darba</w:t>
      </w:r>
      <w:r w:rsidRPr="00560B1B">
        <w:t xml:space="preserve"> laiku vai negatīvi ietekmēt </w:t>
      </w:r>
      <w:r w:rsidR="00A668F2" w:rsidRPr="00560B1B">
        <w:t>darbinieku</w:t>
      </w:r>
      <w:r w:rsidRPr="00560B1B">
        <w:t xml:space="preserve"> spēju veikt savus ikdienas uzdevumus.</w:t>
      </w:r>
    </w:p>
    <w:p w14:paraId="74B31AEC" w14:textId="77777777" w:rsidR="0012472D" w:rsidRPr="00560B1B" w:rsidRDefault="0012472D">
      <w:pPr>
        <w:pStyle w:val="BodyText"/>
        <w:spacing w:before="13"/>
      </w:pPr>
    </w:p>
    <w:p w14:paraId="161CBC02" w14:textId="31DB3A42" w:rsidR="0012472D" w:rsidRPr="00560B1B" w:rsidRDefault="00A7512C">
      <w:pPr>
        <w:pStyle w:val="BodyText"/>
        <w:ind w:left="140"/>
        <w:jc w:val="both"/>
      </w:pPr>
      <w:r w:rsidRPr="00560B1B">
        <w:rPr>
          <w:b/>
          <w:spacing w:val="-2"/>
          <w:u w:val="single"/>
        </w:rPr>
        <w:t>Vegāns</w:t>
      </w:r>
      <w:r w:rsidR="00560B1B">
        <w:rPr>
          <w:b/>
          <w:spacing w:val="-2"/>
        </w:rPr>
        <w:t>.</w:t>
      </w:r>
      <w:r w:rsidRPr="00560B1B">
        <w:rPr>
          <w:b/>
          <w:spacing w:val="-2"/>
        </w:rPr>
        <w:t xml:space="preserve"> </w:t>
      </w:r>
      <w:r w:rsidR="00560B1B">
        <w:rPr>
          <w:spacing w:val="-2"/>
        </w:rPr>
        <w:t>V</w:t>
      </w:r>
      <w:r w:rsidRPr="00560B1B">
        <w:rPr>
          <w:spacing w:val="-2"/>
        </w:rPr>
        <w:t>egāns ēdiens nesatur dzīvnieku izcelsmes sastāvdaļas, tostarp gaļu, mājputnus, zivis, jūras vel</w:t>
      </w:r>
      <w:r w:rsidR="00A668F2" w:rsidRPr="00560B1B">
        <w:rPr>
          <w:spacing w:val="-2"/>
        </w:rPr>
        <w:t>t</w:t>
      </w:r>
      <w:r w:rsidRPr="00560B1B">
        <w:rPr>
          <w:spacing w:val="-2"/>
        </w:rPr>
        <w:t>es, piena produktus, olas, medu vai jebkādas dzīvnieku izcelsmes piedevas.</w:t>
      </w:r>
    </w:p>
    <w:p w14:paraId="67655E55" w14:textId="77777777" w:rsidR="0012472D" w:rsidRPr="00560B1B" w:rsidRDefault="0012472D">
      <w:pPr>
        <w:pStyle w:val="BodyText"/>
        <w:spacing w:before="20"/>
      </w:pPr>
    </w:p>
    <w:p w14:paraId="36E0D944" w14:textId="36CDC130" w:rsidR="0012472D" w:rsidRPr="00560B1B" w:rsidRDefault="00A7512C">
      <w:pPr>
        <w:pStyle w:val="BodyText"/>
        <w:spacing w:line="249" w:lineRule="auto"/>
        <w:ind w:left="140" w:right="86"/>
      </w:pPr>
      <w:r w:rsidRPr="00560B1B">
        <w:rPr>
          <w:b/>
          <w:u w:val="single"/>
        </w:rPr>
        <w:t>Veģetārs</w:t>
      </w:r>
      <w:r w:rsidR="005E6316">
        <w:rPr>
          <w:b/>
        </w:rPr>
        <w:t>.</w:t>
      </w:r>
      <w:r w:rsidRPr="00560B1B">
        <w:rPr>
          <w:b/>
        </w:rPr>
        <w:t xml:space="preserve"> </w:t>
      </w:r>
      <w:r w:rsidR="005E6316">
        <w:t>V</w:t>
      </w:r>
      <w:r w:rsidRPr="00560B1B">
        <w:t>eģetārs ēdiens nesatur gaļu, mājputnus, zivis, jūras vel</w:t>
      </w:r>
      <w:r w:rsidR="00A668F2" w:rsidRPr="00560B1B">
        <w:t>t</w:t>
      </w:r>
      <w:r w:rsidRPr="00560B1B">
        <w:t>es vai produktus, kas iegūti no dzīvnieku kaušanas (piemēram, želatīnu, dzīvnieku himozīnu), bet var saturēt piena produktus un olas.</w:t>
      </w:r>
    </w:p>
    <w:p w14:paraId="6AFBDF3D" w14:textId="77777777" w:rsidR="0012472D" w:rsidRPr="00560B1B" w:rsidRDefault="0012472D">
      <w:pPr>
        <w:pStyle w:val="BodyText"/>
        <w:spacing w:before="12"/>
      </w:pPr>
    </w:p>
    <w:p w14:paraId="5BB029AF" w14:textId="2936B3FE" w:rsidR="0012472D" w:rsidRPr="00560B1B" w:rsidRDefault="00A7512C">
      <w:pPr>
        <w:pStyle w:val="BodyText"/>
        <w:spacing w:before="1" w:line="249" w:lineRule="auto"/>
        <w:ind w:left="140" w:right="86"/>
      </w:pPr>
      <w:r w:rsidRPr="00560B1B">
        <w:rPr>
          <w:b/>
          <w:u w:val="single"/>
        </w:rPr>
        <w:t>Notekūdeņi</w:t>
      </w:r>
      <w:r w:rsidR="005E6316">
        <w:rPr>
          <w:b/>
        </w:rPr>
        <w:t>.</w:t>
      </w:r>
      <w:r w:rsidRPr="00560B1B">
        <w:rPr>
          <w:b/>
        </w:rPr>
        <w:t xml:space="preserve"> </w:t>
      </w:r>
      <w:r w:rsidR="005E6316">
        <w:t>T</w:t>
      </w:r>
      <w:r w:rsidRPr="00560B1B">
        <w:t>ie ietver pelēkos notekūdeņus (no veļas mazgājamām mašīnām, trauku mazgājamām mašīnām un dušām), melnos notekūdeņus (no tualetēm), kondensātu no gaisa kondicionēšanas sistēmām un ūdeni no tīrīšanas darbiem vai citiem procesiem uz vietas.</w:t>
      </w:r>
    </w:p>
    <w:p w14:paraId="103C0873" w14:textId="77777777" w:rsidR="0012472D" w:rsidRPr="00560B1B" w:rsidRDefault="0012472D">
      <w:pPr>
        <w:pStyle w:val="BodyText"/>
        <w:spacing w:before="11"/>
      </w:pPr>
    </w:p>
    <w:p w14:paraId="6A1CF080" w14:textId="20343459" w:rsidR="0012472D" w:rsidRPr="00560B1B" w:rsidRDefault="00A7512C">
      <w:pPr>
        <w:pStyle w:val="BodyText"/>
        <w:spacing w:line="249" w:lineRule="auto"/>
        <w:ind w:left="140" w:right="86"/>
      </w:pPr>
      <w:r w:rsidRPr="00560B1B">
        <w:rPr>
          <w:b/>
          <w:u w:val="single"/>
        </w:rPr>
        <w:t>Savvaļas dzīvnieki</w:t>
      </w:r>
      <w:r w:rsidR="005E6316">
        <w:rPr>
          <w:b/>
        </w:rPr>
        <w:t>.</w:t>
      </w:r>
      <w:r w:rsidRPr="00560B1B">
        <w:rPr>
          <w:b/>
        </w:rPr>
        <w:t xml:space="preserve"> </w:t>
      </w:r>
      <w:r w:rsidR="005E6316">
        <w:t>S</w:t>
      </w:r>
      <w:r w:rsidRPr="00560B1B">
        <w:t xml:space="preserve">ugas, kas valstī vai reģionā nav likumīgi atzītas par mājdzīvniekiem vai </w:t>
      </w:r>
      <w:r w:rsidR="00A668F2" w:rsidRPr="00560B1B">
        <w:t>māj</w:t>
      </w:r>
      <w:r w:rsidRPr="00560B1B">
        <w:t xml:space="preserve">lopiem, ja vien </w:t>
      </w:r>
      <w:r w:rsidR="00A668F2" w:rsidRPr="00560B1B">
        <w:t>tās</w:t>
      </w:r>
      <w:r w:rsidRPr="00560B1B">
        <w:t xml:space="preserve"> netiek turēt</w:t>
      </w:r>
      <w:r w:rsidR="00A668F2" w:rsidRPr="00560B1B">
        <w:t>as</w:t>
      </w:r>
      <w:r w:rsidRPr="00560B1B">
        <w:t xml:space="preserve"> </w:t>
      </w:r>
      <w:r w:rsidR="00A668F2" w:rsidRPr="00560B1B">
        <w:t>atbilstoši</w:t>
      </w:r>
      <w:r w:rsidRPr="00560B1B">
        <w:t xml:space="preserve"> regulētām tradicionālām, lauksaimniecības vai kultūras sistēmām.</w:t>
      </w:r>
    </w:p>
    <w:sectPr w:rsidR="0012472D" w:rsidRPr="00560B1B">
      <w:pgSz w:w="16840" w:h="11910" w:orient="landscape"/>
      <w:pgMar w:top="134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00F19"/>
    <w:multiLevelType w:val="hybridMultilevel"/>
    <w:tmpl w:val="00000000"/>
    <w:lvl w:ilvl="0" w:tplc="651E8478">
      <w:start w:val="1"/>
      <w:numFmt w:val="lowerLetter"/>
      <w:lvlText w:val="%1)"/>
      <w:lvlJc w:val="left"/>
      <w:pPr>
        <w:ind w:left="861" w:hanging="360"/>
        <w:jc w:val="left"/>
      </w:pPr>
      <w:rPr>
        <w:rFonts w:ascii="Arial" w:eastAsia="Arial" w:hAnsi="Arial" w:cs="Arial" w:hint="default"/>
        <w:b w:val="0"/>
        <w:bCs w:val="0"/>
        <w:i w:val="0"/>
        <w:iCs w:val="0"/>
        <w:spacing w:val="-1"/>
        <w:w w:val="85"/>
        <w:sz w:val="20"/>
        <w:szCs w:val="20"/>
        <w:lang w:val="en-US" w:eastAsia="en-US" w:bidi="ar-SA"/>
      </w:rPr>
    </w:lvl>
    <w:lvl w:ilvl="1" w:tplc="8996A450">
      <w:numFmt w:val="bullet"/>
      <w:lvlText w:val="•"/>
      <w:lvlJc w:val="left"/>
      <w:pPr>
        <w:ind w:left="2202" w:hanging="360"/>
      </w:pPr>
      <w:rPr>
        <w:rFonts w:hint="default"/>
        <w:lang w:val="en-US" w:eastAsia="en-US" w:bidi="ar-SA"/>
      </w:rPr>
    </w:lvl>
    <w:lvl w:ilvl="2" w:tplc="FF9A4E30">
      <w:numFmt w:val="bullet"/>
      <w:lvlText w:val="•"/>
      <w:lvlJc w:val="left"/>
      <w:pPr>
        <w:ind w:left="3545" w:hanging="360"/>
      </w:pPr>
      <w:rPr>
        <w:rFonts w:hint="default"/>
        <w:lang w:val="en-US" w:eastAsia="en-US" w:bidi="ar-SA"/>
      </w:rPr>
    </w:lvl>
    <w:lvl w:ilvl="3" w:tplc="D76CD700">
      <w:numFmt w:val="bullet"/>
      <w:lvlText w:val="•"/>
      <w:lvlJc w:val="left"/>
      <w:pPr>
        <w:ind w:left="4888" w:hanging="360"/>
      </w:pPr>
      <w:rPr>
        <w:rFonts w:hint="default"/>
        <w:lang w:val="en-US" w:eastAsia="en-US" w:bidi="ar-SA"/>
      </w:rPr>
    </w:lvl>
    <w:lvl w:ilvl="4" w:tplc="D2CEB3A2">
      <w:numFmt w:val="bullet"/>
      <w:lvlText w:val="•"/>
      <w:lvlJc w:val="left"/>
      <w:pPr>
        <w:ind w:left="6231" w:hanging="360"/>
      </w:pPr>
      <w:rPr>
        <w:rFonts w:hint="default"/>
        <w:lang w:val="en-US" w:eastAsia="en-US" w:bidi="ar-SA"/>
      </w:rPr>
    </w:lvl>
    <w:lvl w:ilvl="5" w:tplc="BC3A9954">
      <w:numFmt w:val="bullet"/>
      <w:lvlText w:val="•"/>
      <w:lvlJc w:val="left"/>
      <w:pPr>
        <w:ind w:left="7574" w:hanging="360"/>
      </w:pPr>
      <w:rPr>
        <w:rFonts w:hint="default"/>
        <w:lang w:val="en-US" w:eastAsia="en-US" w:bidi="ar-SA"/>
      </w:rPr>
    </w:lvl>
    <w:lvl w:ilvl="6" w:tplc="B5A865EC">
      <w:numFmt w:val="bullet"/>
      <w:lvlText w:val="•"/>
      <w:lvlJc w:val="left"/>
      <w:pPr>
        <w:ind w:left="8917" w:hanging="360"/>
      </w:pPr>
      <w:rPr>
        <w:rFonts w:hint="default"/>
        <w:lang w:val="en-US" w:eastAsia="en-US" w:bidi="ar-SA"/>
      </w:rPr>
    </w:lvl>
    <w:lvl w:ilvl="7" w:tplc="695ECC1C">
      <w:numFmt w:val="bullet"/>
      <w:lvlText w:val="•"/>
      <w:lvlJc w:val="left"/>
      <w:pPr>
        <w:ind w:left="10259" w:hanging="360"/>
      </w:pPr>
      <w:rPr>
        <w:rFonts w:hint="default"/>
        <w:lang w:val="en-US" w:eastAsia="en-US" w:bidi="ar-SA"/>
      </w:rPr>
    </w:lvl>
    <w:lvl w:ilvl="8" w:tplc="F2B82A10">
      <w:numFmt w:val="bullet"/>
      <w:lvlText w:val="•"/>
      <w:lvlJc w:val="left"/>
      <w:pPr>
        <w:ind w:left="11602" w:hanging="360"/>
      </w:pPr>
      <w:rPr>
        <w:rFonts w:hint="default"/>
        <w:lang w:val="en-US" w:eastAsia="en-US" w:bidi="ar-SA"/>
      </w:rPr>
    </w:lvl>
  </w:abstractNum>
  <w:abstractNum w:abstractNumId="1" w15:restartNumberingAfterBreak="0">
    <w:nsid w:val="4E522559"/>
    <w:multiLevelType w:val="hybridMultilevel"/>
    <w:tmpl w:val="00000000"/>
    <w:lvl w:ilvl="0" w:tplc="BBC28B3E">
      <w:numFmt w:val="bullet"/>
      <w:lvlText w:val="•"/>
      <w:lvlJc w:val="left"/>
      <w:pPr>
        <w:ind w:left="861" w:hanging="360"/>
      </w:pPr>
      <w:rPr>
        <w:rFonts w:ascii="Calibri" w:eastAsia="Calibri" w:hAnsi="Calibri" w:cs="Calibri" w:hint="default"/>
        <w:b w:val="0"/>
        <w:bCs w:val="0"/>
        <w:i w:val="0"/>
        <w:iCs w:val="0"/>
        <w:spacing w:val="0"/>
        <w:w w:val="91"/>
        <w:sz w:val="20"/>
        <w:szCs w:val="20"/>
        <w:lang w:val="en-US" w:eastAsia="en-US" w:bidi="ar-SA"/>
      </w:rPr>
    </w:lvl>
    <w:lvl w:ilvl="1" w:tplc="2D2C760E">
      <w:numFmt w:val="bullet"/>
      <w:lvlText w:val="•"/>
      <w:lvlJc w:val="left"/>
      <w:pPr>
        <w:ind w:left="2202" w:hanging="360"/>
      </w:pPr>
      <w:rPr>
        <w:rFonts w:hint="default"/>
        <w:lang w:val="en-US" w:eastAsia="en-US" w:bidi="ar-SA"/>
      </w:rPr>
    </w:lvl>
    <w:lvl w:ilvl="2" w:tplc="56209C42">
      <w:numFmt w:val="bullet"/>
      <w:lvlText w:val="•"/>
      <w:lvlJc w:val="left"/>
      <w:pPr>
        <w:ind w:left="3545" w:hanging="360"/>
      </w:pPr>
      <w:rPr>
        <w:rFonts w:hint="default"/>
        <w:lang w:val="en-US" w:eastAsia="en-US" w:bidi="ar-SA"/>
      </w:rPr>
    </w:lvl>
    <w:lvl w:ilvl="3" w:tplc="2B06D0A4">
      <w:numFmt w:val="bullet"/>
      <w:lvlText w:val="•"/>
      <w:lvlJc w:val="left"/>
      <w:pPr>
        <w:ind w:left="4888" w:hanging="360"/>
      </w:pPr>
      <w:rPr>
        <w:rFonts w:hint="default"/>
        <w:lang w:val="en-US" w:eastAsia="en-US" w:bidi="ar-SA"/>
      </w:rPr>
    </w:lvl>
    <w:lvl w:ilvl="4" w:tplc="BD2A6DC4">
      <w:numFmt w:val="bullet"/>
      <w:lvlText w:val="•"/>
      <w:lvlJc w:val="left"/>
      <w:pPr>
        <w:ind w:left="6231" w:hanging="360"/>
      </w:pPr>
      <w:rPr>
        <w:rFonts w:hint="default"/>
        <w:lang w:val="en-US" w:eastAsia="en-US" w:bidi="ar-SA"/>
      </w:rPr>
    </w:lvl>
    <w:lvl w:ilvl="5" w:tplc="698A30F4">
      <w:numFmt w:val="bullet"/>
      <w:lvlText w:val="•"/>
      <w:lvlJc w:val="left"/>
      <w:pPr>
        <w:ind w:left="7574" w:hanging="360"/>
      </w:pPr>
      <w:rPr>
        <w:rFonts w:hint="default"/>
        <w:lang w:val="en-US" w:eastAsia="en-US" w:bidi="ar-SA"/>
      </w:rPr>
    </w:lvl>
    <w:lvl w:ilvl="6" w:tplc="5B041526">
      <w:numFmt w:val="bullet"/>
      <w:lvlText w:val="•"/>
      <w:lvlJc w:val="left"/>
      <w:pPr>
        <w:ind w:left="8917" w:hanging="360"/>
      </w:pPr>
      <w:rPr>
        <w:rFonts w:hint="default"/>
        <w:lang w:val="en-US" w:eastAsia="en-US" w:bidi="ar-SA"/>
      </w:rPr>
    </w:lvl>
    <w:lvl w:ilvl="7" w:tplc="B60C6AA6">
      <w:numFmt w:val="bullet"/>
      <w:lvlText w:val="•"/>
      <w:lvlJc w:val="left"/>
      <w:pPr>
        <w:ind w:left="10259" w:hanging="360"/>
      </w:pPr>
      <w:rPr>
        <w:rFonts w:hint="default"/>
        <w:lang w:val="en-US" w:eastAsia="en-US" w:bidi="ar-SA"/>
      </w:rPr>
    </w:lvl>
    <w:lvl w:ilvl="8" w:tplc="DCE8516C">
      <w:numFmt w:val="bullet"/>
      <w:lvlText w:val="•"/>
      <w:lvlJc w:val="left"/>
      <w:pPr>
        <w:ind w:left="11602" w:hanging="360"/>
      </w:pPr>
      <w:rPr>
        <w:rFonts w:hint="default"/>
        <w:lang w:val="en-US" w:eastAsia="en-US" w:bidi="ar-SA"/>
      </w:rPr>
    </w:lvl>
  </w:abstractNum>
  <w:num w:numId="1" w16cid:durableId="612322450">
    <w:abstractNumId w:val="0"/>
  </w:num>
  <w:num w:numId="2" w16cid:durableId="1458983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2D"/>
    <w:rsid w:val="00065DB2"/>
    <w:rsid w:val="000B7A37"/>
    <w:rsid w:val="000F14E9"/>
    <w:rsid w:val="0012472D"/>
    <w:rsid w:val="0023500E"/>
    <w:rsid w:val="00251CF8"/>
    <w:rsid w:val="0037191E"/>
    <w:rsid w:val="003C7BEF"/>
    <w:rsid w:val="004D4A6A"/>
    <w:rsid w:val="004E75CC"/>
    <w:rsid w:val="0054277F"/>
    <w:rsid w:val="00560B1B"/>
    <w:rsid w:val="005E6316"/>
    <w:rsid w:val="00654C55"/>
    <w:rsid w:val="00672491"/>
    <w:rsid w:val="006C1CBB"/>
    <w:rsid w:val="00785018"/>
    <w:rsid w:val="00870A0C"/>
    <w:rsid w:val="008C7BAB"/>
    <w:rsid w:val="0091197A"/>
    <w:rsid w:val="009157EA"/>
    <w:rsid w:val="00954E94"/>
    <w:rsid w:val="00A668F2"/>
    <w:rsid w:val="00A7512C"/>
    <w:rsid w:val="00AA07AA"/>
    <w:rsid w:val="00AD6C45"/>
    <w:rsid w:val="00B71E05"/>
    <w:rsid w:val="00B861D2"/>
    <w:rsid w:val="00BF5257"/>
    <w:rsid w:val="00BF60E5"/>
    <w:rsid w:val="00C71C56"/>
    <w:rsid w:val="00C86BAC"/>
    <w:rsid w:val="00CA0054"/>
    <w:rsid w:val="00CB65D8"/>
    <w:rsid w:val="00CC4852"/>
    <w:rsid w:val="00D360E4"/>
    <w:rsid w:val="00E33E3F"/>
    <w:rsid w:val="00E365E1"/>
    <w:rsid w:val="00EE0556"/>
    <w:rsid w:val="00F00D5A"/>
    <w:rsid w:val="00FC6F3F"/>
    <w:rsid w:val="00FE16E9"/>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0CE53B8A"/>
  <w15:docId w15:val="{66B18FB5-B039-D44D-A939-045734BC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30"/>
      <w:jc w:val="center"/>
      <w:outlineLvl w:val="0"/>
    </w:pPr>
    <w:rPr>
      <w:b/>
      <w:bCs/>
      <w:sz w:val="52"/>
      <w:szCs w:val="52"/>
    </w:rPr>
  </w:style>
  <w:style w:type="paragraph" w:styleId="Heading2">
    <w:name w:val="heading 2"/>
    <w:basedOn w:val="Normal"/>
    <w:uiPriority w:val="1"/>
    <w:qFormat/>
    <w:pPr>
      <w:spacing w:before="18"/>
      <w:ind w:left="3014" w:right="2984"/>
      <w:jc w:val="center"/>
      <w:outlineLvl w:val="1"/>
    </w:pPr>
    <w:rPr>
      <w:b/>
      <w:bCs/>
      <w:sz w:val="40"/>
      <w:szCs w:val="40"/>
    </w:rPr>
  </w:style>
  <w:style w:type="paragraph" w:styleId="Heading3">
    <w:name w:val="heading 3"/>
    <w:basedOn w:val="Normal"/>
    <w:uiPriority w:val="1"/>
    <w:qFormat/>
    <w:pPr>
      <w:ind w:left="50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THE GREEN KEY</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creator>Ouwerkerk Projecten</dc:creator>
  <cp:keywords>, docId:646D92FDB0AF2505929B0D0D0723404B</cp:keywords>
  <cp:lastModifiedBy>Ilze Grēvele</cp:lastModifiedBy>
  <cp:revision>2</cp:revision>
  <dcterms:created xsi:type="dcterms:W3CDTF">2026-03-31T07:35:00Z</dcterms:created>
  <dcterms:modified xsi:type="dcterms:W3CDTF">2026-03-31T07:35:00Z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for Microsoft 365</vt:lpwstr>
  </property>
  <property fmtid="{D5CDD505-2E9C-101B-9397-08002B2CF9AE}" pid="4" name="LastSaved">
    <vt:filetime>2026-03-11T00:00:00Z</vt:filetime>
  </property>
  <property fmtid="{D5CDD505-2E9C-101B-9397-08002B2CF9AE}" pid="5" name="Producer">
    <vt:lpwstr>Microsoft® Word for Microsoft 365</vt:lpwstr>
  </property>
</Properties>
</file>