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F856" w14:textId="77777777" w:rsidR="00775B7F" w:rsidRDefault="00775B7F">
      <w:pPr>
        <w:pStyle w:val="BodyText"/>
        <w:spacing w:before="73"/>
        <w:rPr>
          <w:rFonts w:ascii="Times New Roman"/>
          <w:sz w:val="52"/>
        </w:rPr>
      </w:pPr>
    </w:p>
    <w:p w14:paraId="7B3CEAE2" w14:textId="206BBC59" w:rsidR="00775B7F" w:rsidRPr="00877B95" w:rsidRDefault="009D48F4">
      <w:pPr>
        <w:pStyle w:val="Heading1"/>
      </w:pPr>
      <w:r w:rsidRPr="00877B95">
        <w:rPr>
          <w:w w:val="90"/>
          <w:sz w:val="51"/>
        </w:rPr>
        <w:t xml:space="preserve">Zaļās atslēgas kritēriji un </w:t>
      </w:r>
      <w:r w:rsidR="00561765" w:rsidRPr="00877B95">
        <w:rPr>
          <w:spacing w:val="-2"/>
          <w:w w:val="90"/>
          <w:sz w:val="51"/>
        </w:rPr>
        <w:t>ieviešanas vadlīnijas</w:t>
      </w:r>
    </w:p>
    <w:p w14:paraId="6FFB2729" w14:textId="4DD69C1C" w:rsidR="00561765" w:rsidRPr="00877B95" w:rsidRDefault="009D48F4" w:rsidP="00561765">
      <w:pPr>
        <w:pStyle w:val="Heading2"/>
        <w:spacing w:line="376" w:lineRule="auto"/>
        <w:ind w:left="0"/>
        <w:rPr>
          <w:sz w:val="39"/>
        </w:rPr>
      </w:pPr>
      <w:r w:rsidRPr="00877B95">
        <w:rPr>
          <w:noProof/>
        </w:rPr>
        <w:drawing>
          <wp:anchor distT="0" distB="0" distL="0" distR="0" simplePos="0" relativeHeight="251658240" behindDoc="0" locked="0" layoutInCell="1" allowOverlap="1" wp14:anchorId="223C6835" wp14:editId="02768995">
            <wp:simplePos x="0" y="0"/>
            <wp:positionH relativeFrom="page">
              <wp:posOffset>4477384</wp:posOffset>
            </wp:positionH>
            <wp:positionV relativeFrom="paragraph">
              <wp:posOffset>914845</wp:posOffset>
            </wp:positionV>
            <wp:extent cx="1728019" cy="2189734"/>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28019" cy="2189734"/>
                    </a:xfrm>
                    <a:prstGeom prst="rect">
                      <a:avLst/>
                    </a:prstGeom>
                  </pic:spPr>
                </pic:pic>
              </a:graphicData>
            </a:graphic>
          </wp:anchor>
        </w:drawing>
      </w:r>
      <w:r w:rsidR="00561765" w:rsidRPr="00877B95">
        <w:rPr>
          <w:sz w:val="39"/>
        </w:rPr>
        <w:t xml:space="preserve">                    </w:t>
      </w:r>
      <w:r w:rsidRPr="00877B95">
        <w:rPr>
          <w:sz w:val="39"/>
        </w:rPr>
        <w:t>2026. gada 1. oktobris – 2031. gada 31.decembris</w:t>
      </w:r>
    </w:p>
    <w:p w14:paraId="6B0BD2AA" w14:textId="14CB9B0E" w:rsidR="00775B7F" w:rsidRPr="00877B95" w:rsidRDefault="001564A7" w:rsidP="001564A7">
      <w:pPr>
        <w:pStyle w:val="Heading2"/>
        <w:spacing w:line="376" w:lineRule="auto"/>
        <w:ind w:left="0"/>
      </w:pPr>
      <w:r>
        <w:rPr>
          <w:sz w:val="39"/>
        </w:rPr>
        <w:t xml:space="preserve">                       </w:t>
      </w:r>
      <w:r w:rsidR="00F07186" w:rsidRPr="00877B95">
        <w:rPr>
          <w:sz w:val="39"/>
        </w:rPr>
        <w:t>Sertifikācijas kategoriju definīcijas</w:t>
      </w:r>
    </w:p>
    <w:p w14:paraId="3F9DB99F" w14:textId="77777777" w:rsidR="00775B7F" w:rsidRPr="00877B95" w:rsidRDefault="00775B7F">
      <w:pPr>
        <w:pStyle w:val="BodyText"/>
        <w:rPr>
          <w:b/>
          <w:sz w:val="40"/>
        </w:rPr>
      </w:pPr>
    </w:p>
    <w:p w14:paraId="20E6D7F7" w14:textId="77777777" w:rsidR="00775B7F" w:rsidRPr="00877B95" w:rsidRDefault="00775B7F">
      <w:pPr>
        <w:pStyle w:val="BodyText"/>
        <w:rPr>
          <w:b/>
          <w:sz w:val="40"/>
        </w:rPr>
      </w:pPr>
    </w:p>
    <w:p w14:paraId="52F7D1FB" w14:textId="77777777" w:rsidR="00775B7F" w:rsidRPr="00877B95" w:rsidRDefault="00775B7F">
      <w:pPr>
        <w:pStyle w:val="BodyText"/>
        <w:rPr>
          <w:b/>
          <w:sz w:val="40"/>
        </w:rPr>
      </w:pPr>
    </w:p>
    <w:p w14:paraId="083F6D51" w14:textId="77777777" w:rsidR="00775B7F" w:rsidRPr="00877B95" w:rsidRDefault="00775B7F">
      <w:pPr>
        <w:pStyle w:val="BodyText"/>
        <w:rPr>
          <w:b/>
          <w:sz w:val="40"/>
        </w:rPr>
      </w:pPr>
    </w:p>
    <w:p w14:paraId="04517BD2" w14:textId="77777777" w:rsidR="00775B7F" w:rsidRPr="00877B95" w:rsidRDefault="00775B7F">
      <w:pPr>
        <w:pStyle w:val="BodyText"/>
        <w:rPr>
          <w:b/>
          <w:sz w:val="40"/>
        </w:rPr>
      </w:pPr>
    </w:p>
    <w:p w14:paraId="4507CE07" w14:textId="77777777" w:rsidR="00775B7F" w:rsidRPr="00877B95" w:rsidRDefault="00775B7F">
      <w:pPr>
        <w:pStyle w:val="BodyText"/>
        <w:rPr>
          <w:b/>
          <w:sz w:val="40"/>
        </w:rPr>
      </w:pPr>
    </w:p>
    <w:p w14:paraId="26FBB35B" w14:textId="77777777" w:rsidR="00775B7F" w:rsidRDefault="00775B7F">
      <w:pPr>
        <w:pStyle w:val="BodyText"/>
        <w:spacing w:before="239"/>
        <w:rPr>
          <w:b/>
          <w:sz w:val="40"/>
        </w:rPr>
      </w:pPr>
    </w:p>
    <w:p w14:paraId="65C61576" w14:textId="678E919D" w:rsidR="00E94270" w:rsidRPr="00E94270" w:rsidRDefault="00E94270" w:rsidP="00E94270">
      <w:pPr>
        <w:jc w:val="both"/>
        <w:rPr>
          <w:sz w:val="20"/>
          <w:szCs w:val="20"/>
        </w:rPr>
      </w:pPr>
      <w:r w:rsidRPr="00E94270">
        <w:rPr>
          <w:sz w:val="20"/>
          <w:szCs w:val="20"/>
        </w:rPr>
        <w:t>Šis dokuments ir oficiālais nacionālais tulkojums Zaļās Atslēgas starptautisko kritēriju un ieviešanas vadlīniju dokumentācijai 2026-2031. gada periodam. Tas ir oficiāli pārbaudīts un apstiprināts, nodrošinot konsekvenci ar publiskoto starptautisko oficiālo versiju. Šaubu vai interpretācijas viedokļu atšķirības gadījumā prevalē formulējumi publiskotajā kritēriju starptautiskajā dokumentācijā angļu valodā.</w:t>
      </w:r>
    </w:p>
    <w:p w14:paraId="3F3B420D" w14:textId="77777777" w:rsidR="00E94270" w:rsidRPr="00E94270" w:rsidRDefault="00E94270" w:rsidP="00E94270">
      <w:pPr>
        <w:pStyle w:val="BodyText"/>
        <w:spacing w:line="249" w:lineRule="auto"/>
        <w:ind w:right="142"/>
        <w:jc w:val="both"/>
      </w:pPr>
    </w:p>
    <w:p w14:paraId="211C5EF6" w14:textId="6A32F058" w:rsidR="00775B7F" w:rsidRPr="00E94270" w:rsidRDefault="009D48F4" w:rsidP="00E94270">
      <w:pPr>
        <w:pStyle w:val="BodyText"/>
        <w:spacing w:line="249" w:lineRule="auto"/>
        <w:ind w:right="142"/>
        <w:jc w:val="both"/>
      </w:pPr>
      <w:r w:rsidRPr="00E94270">
        <w:t>Šajā pielikumā ir izskaidrot</w:t>
      </w:r>
      <w:r w:rsidR="00561765" w:rsidRPr="00E94270">
        <w:t xml:space="preserve">as </w:t>
      </w:r>
      <w:r w:rsidRPr="00E94270">
        <w:t>uzņēmumu kategorijas, kas var pretendēt Zaļās atslēgas sertifikāt</w:t>
      </w:r>
      <w:r w:rsidR="00561765" w:rsidRPr="00E94270">
        <w:t>a i</w:t>
      </w:r>
      <w:r w:rsidR="00F07186" w:rsidRPr="00E94270">
        <w:t>e</w:t>
      </w:r>
      <w:r w:rsidR="00561765" w:rsidRPr="00E94270">
        <w:t>gūšanai</w:t>
      </w:r>
      <w:r w:rsidRPr="00E94270">
        <w:t xml:space="preserve">, </w:t>
      </w:r>
      <w:r w:rsidR="00561765" w:rsidRPr="00E94270">
        <w:t>kā arī</w:t>
      </w:r>
      <w:r w:rsidRPr="00E94270">
        <w:t xml:space="preserve"> katrai kategorijai piemērojamie atbilstības nosacījumi. Kategori</w:t>
      </w:r>
      <w:r w:rsidR="00561765" w:rsidRPr="00E94270">
        <w:t>jas</w:t>
      </w:r>
      <w:r w:rsidRPr="00E94270">
        <w:t xml:space="preserve"> palīdz nodrošināt</w:t>
      </w:r>
      <w:r w:rsidR="00561765" w:rsidRPr="00E94270">
        <w:t xml:space="preserve"> </w:t>
      </w:r>
      <w:r w:rsidRPr="00E94270">
        <w:t>Zaļās atslēgas kritērij</w:t>
      </w:r>
      <w:r w:rsidR="00561765" w:rsidRPr="00E94270">
        <w:t>u</w:t>
      </w:r>
      <w:r w:rsidRPr="00E94270">
        <w:t xml:space="preserve"> </w:t>
      </w:r>
      <w:r w:rsidR="00561765" w:rsidRPr="00E94270">
        <w:t xml:space="preserve">vienādu un samērīgu </w:t>
      </w:r>
      <w:r w:rsidRPr="00E94270">
        <w:t>piemēro</w:t>
      </w:r>
      <w:r w:rsidR="00561765" w:rsidRPr="00E94270">
        <w:t xml:space="preserve">šanu </w:t>
      </w:r>
      <w:r w:rsidRPr="00E94270">
        <w:t>dažāda veida tūrisma un viesmīlības uzņēmumos, un skaidri norāda</w:t>
      </w:r>
      <w:r w:rsidR="00561765" w:rsidRPr="00E94270">
        <w:t xml:space="preserve"> </w:t>
      </w:r>
      <w:r w:rsidRPr="00E94270">
        <w:t>kritērij</w:t>
      </w:r>
      <w:r w:rsidR="00561765" w:rsidRPr="00E94270">
        <w:t xml:space="preserve">u piemērošanu </w:t>
      </w:r>
      <w:r w:rsidRPr="00E94270">
        <w:t>katr</w:t>
      </w:r>
      <w:r w:rsidR="00561765" w:rsidRPr="00E94270">
        <w:t xml:space="preserve">am </w:t>
      </w:r>
      <w:r w:rsidRPr="00E94270">
        <w:t>uzņēmum</w:t>
      </w:r>
      <w:r w:rsidR="00561765" w:rsidRPr="00E94270">
        <w:t>am</w:t>
      </w:r>
      <w:r w:rsidRPr="00E94270">
        <w:t>. Kategorija</w:t>
      </w:r>
      <w:r w:rsidR="00561765" w:rsidRPr="00E94270">
        <w:t>s</w:t>
      </w:r>
      <w:r w:rsidRPr="00E94270">
        <w:t xml:space="preserve"> ir balstīta</w:t>
      </w:r>
      <w:r w:rsidR="00561765" w:rsidRPr="00E94270">
        <w:t>s</w:t>
      </w:r>
      <w:r w:rsidRPr="00E94270">
        <w:t xml:space="preserve"> uzņēmum</w:t>
      </w:r>
      <w:r w:rsidR="00561765" w:rsidRPr="00E94270">
        <w:t>u</w:t>
      </w:r>
      <w:r w:rsidRPr="00E94270">
        <w:t xml:space="preserve"> galven</w:t>
      </w:r>
      <w:r w:rsidR="00561765" w:rsidRPr="00E94270">
        <w:t xml:space="preserve">ā </w:t>
      </w:r>
      <w:r w:rsidRPr="00E94270">
        <w:t>darbības veid</w:t>
      </w:r>
      <w:r w:rsidR="00F07186" w:rsidRPr="00E94270">
        <w:t>a specifikā</w:t>
      </w:r>
      <w:r w:rsidRPr="00E94270">
        <w:t>, darbības raksturlielumiem un piedāvāt</w:t>
      </w:r>
      <w:r w:rsidR="00561765" w:rsidRPr="00E94270">
        <w:t>o</w:t>
      </w:r>
      <w:r w:rsidRPr="00E94270">
        <w:t xml:space="preserve"> pakalpojum</w:t>
      </w:r>
      <w:r w:rsidR="00561765" w:rsidRPr="00E94270">
        <w:t>u veidiem</w:t>
      </w:r>
      <w:r w:rsidRPr="00E94270">
        <w:rPr>
          <w:spacing w:val="-2"/>
        </w:rPr>
        <w:t>.</w:t>
      </w:r>
    </w:p>
    <w:p w14:paraId="43B54360" w14:textId="77777777" w:rsidR="00E94270" w:rsidRPr="00E94270" w:rsidRDefault="00E94270" w:rsidP="00E94270">
      <w:pPr>
        <w:pStyle w:val="BodyText"/>
        <w:spacing w:line="249" w:lineRule="auto"/>
        <w:ind w:right="142"/>
        <w:jc w:val="both"/>
      </w:pPr>
    </w:p>
    <w:p w14:paraId="6B98FE5C" w14:textId="5F61BDA5" w:rsidR="00775B7F" w:rsidRPr="00E94270" w:rsidRDefault="00561765" w:rsidP="00E94270">
      <w:pPr>
        <w:pStyle w:val="BodyText"/>
        <w:spacing w:line="249" w:lineRule="auto"/>
        <w:ind w:right="142"/>
        <w:jc w:val="both"/>
      </w:pPr>
      <w:r w:rsidRPr="00E94270">
        <w:t xml:space="preserve">Detalizēti noteikumi par sertifikācijas robežām, tostarp par to, kuri pakalpojumi un iekārtas ir iekļauti vai izslēgti, ir sniegti dokumentā „Zaļās Atslēgas darbības jomas un tvērums” (pieejams </w:t>
      </w:r>
      <w:r w:rsidRPr="00E94270">
        <w:rPr>
          <w:u w:val="single"/>
        </w:rPr>
        <w:t>šeit</w:t>
      </w:r>
      <w:r w:rsidRPr="00E94270">
        <w:t>), kas izskatāms kopā ar šo pielikumu. Zaļās Atslēgas programmas kritērijos lietoto terminu un jēdzienu skaidrojums,</w:t>
      </w:r>
      <w:r w:rsidR="00F07186" w:rsidRPr="00E94270">
        <w:t xml:space="preserve"> </w:t>
      </w:r>
      <w:r w:rsidRPr="00E94270">
        <w:t xml:space="preserve">ir pieejams </w:t>
      </w:r>
      <w:r w:rsidRPr="00E94270">
        <w:rPr>
          <w:color w:val="0000FF"/>
          <w:u w:val="single" w:color="0000FF"/>
        </w:rPr>
        <w:t>šeit.</w:t>
      </w:r>
    </w:p>
    <w:p w14:paraId="67630B20" w14:textId="77777777" w:rsidR="00775B7F" w:rsidRPr="00877B95" w:rsidRDefault="00775B7F">
      <w:pPr>
        <w:pStyle w:val="BodyText"/>
        <w:spacing w:line="249" w:lineRule="auto"/>
        <w:jc w:val="both"/>
        <w:sectPr w:rsidR="00775B7F" w:rsidRPr="00877B95">
          <w:footerReference w:type="default" r:id="rId8"/>
          <w:type w:val="continuous"/>
          <w:pgSz w:w="16840" w:h="11910" w:orient="landscape"/>
          <w:pgMar w:top="1340" w:right="1275" w:bottom="1180" w:left="1275" w:header="0" w:footer="986" w:gutter="0"/>
          <w:pgNumType w:start="1"/>
          <w:cols w:space="708"/>
        </w:sectPr>
      </w:pPr>
    </w:p>
    <w:p w14:paraId="5DAEC6A1" w14:textId="77777777" w:rsidR="00775B7F" w:rsidRPr="00877B95" w:rsidRDefault="00775B7F">
      <w:pPr>
        <w:pStyle w:val="BodyText"/>
        <w:spacing w:before="125"/>
      </w:pPr>
    </w:p>
    <w:p w14:paraId="1506FFEF" w14:textId="0BB67B97" w:rsidR="00775B7F" w:rsidRPr="00877B95" w:rsidRDefault="00561765">
      <w:pPr>
        <w:pStyle w:val="BodyText"/>
        <w:ind w:left="140"/>
      </w:pPr>
      <w:r w:rsidRPr="00877B95">
        <w:rPr>
          <w:sz w:val="19"/>
        </w:rPr>
        <w:t xml:space="preserve">Zaļās Atslēgas sertifikācija ir piemērojama šādām uzņēmumu </w:t>
      </w:r>
      <w:r w:rsidRPr="00877B95">
        <w:rPr>
          <w:spacing w:val="-2"/>
          <w:sz w:val="19"/>
        </w:rPr>
        <w:t>kategorijām:</w:t>
      </w:r>
    </w:p>
    <w:p w14:paraId="48952773" w14:textId="77777777" w:rsidR="00775B7F" w:rsidRPr="00877B95" w:rsidRDefault="00775B7F">
      <w:pPr>
        <w:pStyle w:val="BodyText"/>
        <w:spacing w:before="35"/>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10936"/>
      </w:tblGrid>
      <w:tr w:rsidR="00775B7F" w:rsidRPr="00877B95" w14:paraId="4EA41523" w14:textId="77777777">
        <w:trPr>
          <w:trHeight w:val="6490"/>
        </w:trPr>
        <w:tc>
          <w:tcPr>
            <w:tcW w:w="3060" w:type="dxa"/>
          </w:tcPr>
          <w:p w14:paraId="1D174663" w14:textId="77777777" w:rsidR="00775B7F" w:rsidRPr="00877B95" w:rsidRDefault="009D48F4">
            <w:pPr>
              <w:pStyle w:val="TableParagraph"/>
              <w:spacing w:before="252"/>
              <w:rPr>
                <w:b/>
              </w:rPr>
            </w:pPr>
            <w:r w:rsidRPr="00877B95">
              <w:rPr>
                <w:b/>
                <w:spacing w:val="-8"/>
                <w:sz w:val="21"/>
              </w:rPr>
              <w:t>Viesnīcas un hosteli (HH)</w:t>
            </w:r>
          </w:p>
        </w:tc>
        <w:tc>
          <w:tcPr>
            <w:tcW w:w="10936" w:type="dxa"/>
          </w:tcPr>
          <w:p w14:paraId="20F4151D" w14:textId="77777777" w:rsidR="00775B7F" w:rsidRPr="00877B95" w:rsidRDefault="00775B7F">
            <w:pPr>
              <w:pStyle w:val="TableParagraph"/>
              <w:spacing w:before="21"/>
              <w:ind w:left="0"/>
              <w:rPr>
                <w:sz w:val="20"/>
              </w:rPr>
            </w:pPr>
          </w:p>
          <w:p w14:paraId="4EDAC882" w14:textId="53D75123" w:rsidR="00775B7F" w:rsidRPr="00877B95" w:rsidRDefault="009D48F4">
            <w:pPr>
              <w:pStyle w:val="TableParagraph"/>
              <w:spacing w:line="249" w:lineRule="auto"/>
              <w:ind w:right="96"/>
              <w:jc w:val="both"/>
              <w:rPr>
                <w:b/>
                <w:sz w:val="20"/>
              </w:rPr>
            </w:pPr>
            <w:r w:rsidRPr="00877B95">
              <w:rPr>
                <w:b/>
                <w:spacing w:val="-6"/>
                <w:sz w:val="19"/>
              </w:rPr>
              <w:t xml:space="preserve">Zaļās </w:t>
            </w:r>
            <w:r w:rsidR="00F07186" w:rsidRPr="00877B95">
              <w:rPr>
                <w:b/>
                <w:spacing w:val="-6"/>
                <w:sz w:val="19"/>
              </w:rPr>
              <w:t>A</w:t>
            </w:r>
            <w:r w:rsidRPr="00877B95">
              <w:rPr>
                <w:b/>
                <w:spacing w:val="-6"/>
                <w:sz w:val="19"/>
              </w:rPr>
              <w:t>tslēgas viesnīcu un hostelu kritēriji attiecas uz pilnībā funkcionējošām viesnīcām un hosteliem, kas piedāvā regulārus viesmīlības pakalpojumus. Iestādes, kurās notiek liela apjoma būvniecības/renovācijas darbi</w:t>
            </w:r>
            <w:hyperlink w:anchor="_bookmark0" w:history="1">
              <w:r w:rsidRPr="00877B95">
                <w:rPr>
                  <w:b/>
                  <w:spacing w:val="-6"/>
                  <w:position w:val="7"/>
                  <w:sz w:val="12"/>
                </w:rPr>
                <w:t>(1) ,</w:t>
              </w:r>
            </w:hyperlink>
            <w:r w:rsidRPr="00877B95">
              <w:rPr>
                <w:b/>
                <w:spacing w:val="-6"/>
                <w:sz w:val="19"/>
              </w:rPr>
              <w:t xml:space="preserve">sertifikātu var saņemt tikai pēc darbu pabeigšanas. Lai gan iestādes, kas piedāvā pagaidu/neregulārus pakalpojumus, neietilpst šīs kategorijas darbības jomā, </w:t>
            </w:r>
            <w:r w:rsidRPr="00877B95">
              <w:rPr>
                <w:b/>
                <w:w w:val="90"/>
                <w:sz w:val="19"/>
              </w:rPr>
              <w:t>sezon</w:t>
            </w:r>
            <w:r w:rsidR="00BF064B" w:rsidRPr="00877B95">
              <w:rPr>
                <w:b/>
                <w:w w:val="90"/>
                <w:sz w:val="19"/>
              </w:rPr>
              <w:t>āli atvērtas</w:t>
            </w:r>
            <w:r w:rsidRPr="00877B95">
              <w:rPr>
                <w:b/>
                <w:w w:val="90"/>
                <w:sz w:val="19"/>
              </w:rPr>
              <w:t xml:space="preserve"> iestādes var būt tiesīgas saņemt sertifikātu, ja tās ir pilnībā funkcionējošas audita </w:t>
            </w:r>
            <w:r w:rsidR="00BF064B" w:rsidRPr="00877B95">
              <w:rPr>
                <w:b/>
                <w:w w:val="90"/>
                <w:sz w:val="19"/>
              </w:rPr>
              <w:t>veikšanas brīdī</w:t>
            </w:r>
            <w:r w:rsidRPr="00877B95">
              <w:rPr>
                <w:b/>
                <w:w w:val="90"/>
                <w:sz w:val="19"/>
              </w:rPr>
              <w:t>.</w:t>
            </w:r>
            <w:r w:rsidRPr="00877B95">
              <w:rPr>
                <w:b/>
                <w:sz w:val="19"/>
              </w:rPr>
              <w:t xml:space="preserve"> </w:t>
            </w:r>
            <w:r w:rsidRPr="00877B95">
              <w:rPr>
                <w:b/>
                <w:w w:val="90"/>
                <w:sz w:val="19"/>
              </w:rPr>
              <w:t>Viesnīca</w:t>
            </w:r>
            <w:r w:rsidR="00BF064B" w:rsidRPr="00877B95">
              <w:rPr>
                <w:b/>
                <w:w w:val="90"/>
                <w:sz w:val="19"/>
              </w:rPr>
              <w:t>i</w:t>
            </w:r>
            <w:r w:rsidRPr="00877B95">
              <w:rPr>
                <w:b/>
                <w:w w:val="90"/>
                <w:sz w:val="19"/>
              </w:rPr>
              <w:t>/hosteli</w:t>
            </w:r>
            <w:r w:rsidR="00BF064B" w:rsidRPr="00877B95">
              <w:rPr>
                <w:b/>
                <w:w w:val="90"/>
                <w:sz w:val="19"/>
              </w:rPr>
              <w:t>m jā</w:t>
            </w:r>
            <w:r w:rsidRPr="00877B95">
              <w:rPr>
                <w:b/>
                <w:spacing w:val="-6"/>
                <w:sz w:val="19"/>
              </w:rPr>
              <w:t>atrodas vienā pastāvīgā vietā, tajā ir</w:t>
            </w:r>
            <w:r w:rsidR="00BF064B" w:rsidRPr="00877B95">
              <w:rPr>
                <w:b/>
                <w:spacing w:val="-6"/>
                <w:sz w:val="19"/>
              </w:rPr>
              <w:t xml:space="preserve"> jābūt</w:t>
            </w:r>
            <w:r w:rsidRPr="00877B95">
              <w:rPr>
                <w:b/>
                <w:spacing w:val="-6"/>
                <w:sz w:val="19"/>
              </w:rPr>
              <w:t xml:space="preserve"> vairāk nekā 20 numuri</w:t>
            </w:r>
            <w:r w:rsidR="00BF064B" w:rsidRPr="00877B95">
              <w:rPr>
                <w:b/>
                <w:spacing w:val="-6"/>
                <w:sz w:val="19"/>
              </w:rPr>
              <w:t xml:space="preserve">em </w:t>
            </w:r>
            <w:r w:rsidRPr="00877B95">
              <w:rPr>
                <w:b/>
                <w:spacing w:val="-6"/>
                <w:sz w:val="19"/>
              </w:rPr>
              <w:t>vai 40 gultasviet</w:t>
            </w:r>
            <w:r w:rsidR="00BF064B" w:rsidRPr="00877B95">
              <w:rPr>
                <w:b/>
                <w:spacing w:val="-6"/>
                <w:sz w:val="19"/>
              </w:rPr>
              <w:t>ām</w:t>
            </w:r>
            <w:r w:rsidRPr="00877B95">
              <w:rPr>
                <w:b/>
                <w:spacing w:val="-6"/>
                <w:sz w:val="19"/>
              </w:rPr>
              <w:t xml:space="preserve">, un </w:t>
            </w:r>
            <w:r w:rsidR="00BF064B" w:rsidRPr="00877B95">
              <w:rPr>
                <w:b/>
                <w:spacing w:val="-6"/>
                <w:sz w:val="19"/>
              </w:rPr>
              <w:t>pakalp</w:t>
            </w:r>
            <w:r w:rsidR="003D3E99" w:rsidRPr="00877B95">
              <w:rPr>
                <w:b/>
                <w:spacing w:val="-6"/>
                <w:sz w:val="19"/>
              </w:rPr>
              <w:t>o</w:t>
            </w:r>
            <w:r w:rsidR="00BF064B" w:rsidRPr="00877B95">
              <w:rPr>
                <w:b/>
                <w:spacing w:val="-6"/>
                <w:sz w:val="19"/>
              </w:rPr>
              <w:t>jumi ir pieejami</w:t>
            </w:r>
            <w:r w:rsidRPr="00877B95">
              <w:rPr>
                <w:b/>
                <w:spacing w:val="-6"/>
                <w:sz w:val="19"/>
              </w:rPr>
              <w:t xml:space="preserve"> plašai sabiedrībai.</w:t>
            </w:r>
          </w:p>
          <w:p w14:paraId="3A4B0E4D" w14:textId="77777777" w:rsidR="00775B7F" w:rsidRPr="00877B95" w:rsidRDefault="00775B7F">
            <w:pPr>
              <w:pStyle w:val="TableParagraph"/>
              <w:spacing w:before="10"/>
              <w:ind w:left="0"/>
              <w:rPr>
                <w:sz w:val="20"/>
              </w:rPr>
            </w:pPr>
          </w:p>
          <w:p w14:paraId="6C70691A" w14:textId="5A5621CC" w:rsidR="00775B7F" w:rsidRPr="00877B95" w:rsidRDefault="009D48F4">
            <w:pPr>
              <w:pStyle w:val="TableParagraph"/>
              <w:spacing w:before="1" w:line="249" w:lineRule="auto"/>
              <w:ind w:right="97"/>
              <w:jc w:val="both"/>
              <w:rPr>
                <w:sz w:val="20"/>
              </w:rPr>
            </w:pPr>
            <w:r w:rsidRPr="00877B95">
              <w:rPr>
                <w:spacing w:val="-2"/>
                <w:sz w:val="19"/>
              </w:rPr>
              <w:t>Zaļā</w:t>
            </w:r>
            <w:r w:rsidR="00BF064B" w:rsidRPr="00877B95">
              <w:rPr>
                <w:spacing w:val="-2"/>
                <w:sz w:val="19"/>
              </w:rPr>
              <w:t>s</w:t>
            </w:r>
            <w:r w:rsidRPr="00877B95">
              <w:rPr>
                <w:spacing w:val="-2"/>
                <w:sz w:val="19"/>
              </w:rPr>
              <w:t xml:space="preserve"> </w:t>
            </w:r>
            <w:r w:rsidR="00F07186" w:rsidRPr="00877B95">
              <w:rPr>
                <w:spacing w:val="-2"/>
                <w:sz w:val="19"/>
              </w:rPr>
              <w:t>A</w:t>
            </w:r>
            <w:r w:rsidRPr="00877B95">
              <w:rPr>
                <w:spacing w:val="-2"/>
                <w:sz w:val="19"/>
              </w:rPr>
              <w:t>tslēga</w:t>
            </w:r>
            <w:r w:rsidR="00BF064B" w:rsidRPr="00877B95">
              <w:rPr>
                <w:spacing w:val="-2"/>
                <w:sz w:val="19"/>
              </w:rPr>
              <w:t>s</w:t>
            </w:r>
            <w:r w:rsidRPr="00877B95">
              <w:rPr>
                <w:spacing w:val="-2"/>
                <w:sz w:val="19"/>
              </w:rPr>
              <w:t xml:space="preserve"> sertifikācija parasti neattiecas uz brīvdienu māju tipa īpašumiem, kop</w:t>
            </w:r>
            <w:r w:rsidR="00F07186" w:rsidRPr="00877B95">
              <w:rPr>
                <w:spacing w:val="-2"/>
                <w:sz w:val="19"/>
              </w:rPr>
              <w:t>mītnēm</w:t>
            </w:r>
            <w:r w:rsidRPr="00877B95">
              <w:rPr>
                <w:spacing w:val="-2"/>
                <w:sz w:val="19"/>
              </w:rPr>
              <w:t xml:space="preserve">, pastāvīgām </w:t>
            </w:r>
            <w:r w:rsidR="00BF064B" w:rsidRPr="00877B95">
              <w:rPr>
                <w:spacing w:val="-2"/>
                <w:sz w:val="19"/>
              </w:rPr>
              <w:t>rezidencēm</w:t>
            </w:r>
            <w:r w:rsidRPr="00877B95">
              <w:rPr>
                <w:spacing w:val="-2"/>
                <w:sz w:val="19"/>
              </w:rPr>
              <w:t xml:space="preserve">, </w:t>
            </w:r>
            <w:r w:rsidRPr="00877B95">
              <w:rPr>
                <w:sz w:val="19"/>
              </w:rPr>
              <w:t>atsevišķām kopdzīves telpām vai ilgtermiņa nomas dzīvokļiem. Tomēr jauktas izmantošanas ēkās vai viesnīcu-dzīvojamo ēku hibrīdos tiek piemēroti šādi nosacījumi:</w:t>
            </w:r>
          </w:p>
          <w:p w14:paraId="2F7CEF13" w14:textId="215237D4" w:rsidR="00775B7F" w:rsidRPr="00877B95" w:rsidRDefault="009D48F4">
            <w:pPr>
              <w:pStyle w:val="TableParagraph"/>
              <w:numPr>
                <w:ilvl w:val="0"/>
                <w:numId w:val="11"/>
              </w:numPr>
              <w:tabs>
                <w:tab w:val="left" w:pos="829"/>
              </w:tabs>
              <w:spacing w:before="2" w:line="243" w:lineRule="exact"/>
              <w:ind w:left="829" w:hanging="359"/>
              <w:jc w:val="both"/>
              <w:rPr>
                <w:sz w:val="20"/>
              </w:rPr>
            </w:pPr>
            <w:r w:rsidRPr="00877B95">
              <w:rPr>
                <w:sz w:val="19"/>
              </w:rPr>
              <w:t>Gan īstermiņa, gan ilgtermiņa īre (istabas vai dzīvokļi) var tikt iekļaut</w:t>
            </w:r>
            <w:r w:rsidR="00F07186" w:rsidRPr="00877B95">
              <w:rPr>
                <w:sz w:val="19"/>
              </w:rPr>
              <w:t>a</w:t>
            </w:r>
            <w:r w:rsidRPr="00877B95">
              <w:rPr>
                <w:sz w:val="19"/>
              </w:rPr>
              <w:t xml:space="preserve"> tikai </w:t>
            </w:r>
            <w:r w:rsidRPr="00877B95">
              <w:rPr>
                <w:spacing w:val="-5"/>
                <w:sz w:val="19"/>
              </w:rPr>
              <w:t>tad</w:t>
            </w:r>
            <w:r w:rsidRPr="00877B95">
              <w:rPr>
                <w:sz w:val="19"/>
              </w:rPr>
              <w:t>,</w:t>
            </w:r>
            <w:r w:rsidRPr="00877B95">
              <w:rPr>
                <w:spacing w:val="-5"/>
                <w:sz w:val="19"/>
              </w:rPr>
              <w:t xml:space="preserve"> ja:</w:t>
            </w:r>
          </w:p>
          <w:p w14:paraId="66EC83A4" w14:textId="77A5EBB5" w:rsidR="00775B7F" w:rsidRPr="00877B95" w:rsidRDefault="00BF064B">
            <w:pPr>
              <w:pStyle w:val="TableParagraph"/>
              <w:numPr>
                <w:ilvl w:val="1"/>
                <w:numId w:val="11"/>
              </w:numPr>
              <w:tabs>
                <w:tab w:val="left" w:pos="1551"/>
              </w:tabs>
              <w:spacing w:before="4" w:line="232" w:lineRule="auto"/>
              <w:ind w:right="96"/>
              <w:jc w:val="both"/>
              <w:rPr>
                <w:sz w:val="20"/>
              </w:rPr>
            </w:pPr>
            <w:r w:rsidRPr="00877B95">
              <w:rPr>
                <w:sz w:val="19"/>
              </w:rPr>
              <w:t>ir nodrošināta regulāra piekļuvieizīrētajai vienībai viesu uzturēšanās laikā (piemēram, tīrīšanai vai apkopšanai); un</w:t>
            </w:r>
          </w:p>
          <w:p w14:paraId="1A831F52" w14:textId="201BD7CB" w:rsidR="00775B7F" w:rsidRPr="00877B95" w:rsidRDefault="00BF064B">
            <w:pPr>
              <w:pStyle w:val="TableParagraph"/>
              <w:numPr>
                <w:ilvl w:val="1"/>
                <w:numId w:val="11"/>
              </w:numPr>
              <w:tabs>
                <w:tab w:val="left" w:pos="1551"/>
              </w:tabs>
              <w:spacing w:before="16" w:line="232" w:lineRule="auto"/>
              <w:ind w:right="105"/>
              <w:jc w:val="both"/>
              <w:rPr>
                <w:sz w:val="20"/>
              </w:rPr>
            </w:pPr>
            <w:r w:rsidRPr="00877B95">
              <w:rPr>
                <w:sz w:val="19"/>
              </w:rPr>
              <w:t>tiek garantēts, ka standarta viesmīlības pakalpojumi tiek sniegti nepārtraukti, neatkarīgi no īres ilguma.</w:t>
            </w:r>
          </w:p>
          <w:p w14:paraId="3355401E" w14:textId="2625F4A8" w:rsidR="00775B7F" w:rsidRPr="00877B95" w:rsidRDefault="009D48F4">
            <w:pPr>
              <w:pStyle w:val="TableParagraph"/>
              <w:numPr>
                <w:ilvl w:val="0"/>
                <w:numId w:val="11"/>
              </w:numPr>
              <w:tabs>
                <w:tab w:val="left" w:pos="830"/>
              </w:tabs>
              <w:spacing w:before="13" w:line="244" w:lineRule="auto"/>
              <w:ind w:right="96"/>
              <w:jc w:val="both"/>
              <w:rPr>
                <w:sz w:val="20"/>
              </w:rPr>
            </w:pPr>
            <w:r w:rsidRPr="00877B95">
              <w:rPr>
                <w:sz w:val="19"/>
              </w:rPr>
              <w:t xml:space="preserve">Ja </w:t>
            </w:r>
            <w:r w:rsidR="00BF064B" w:rsidRPr="00877B95">
              <w:rPr>
                <w:sz w:val="19"/>
              </w:rPr>
              <w:t>uzņēmuma pārstāvis</w:t>
            </w:r>
            <w:r w:rsidRPr="00877B95">
              <w:rPr>
                <w:sz w:val="19"/>
              </w:rPr>
              <w:t xml:space="preserve"> nevar </w:t>
            </w:r>
            <w:r w:rsidR="00BF064B" w:rsidRPr="00877B95">
              <w:rPr>
                <w:sz w:val="19"/>
              </w:rPr>
              <w:t>piekļūt istabām</w:t>
            </w:r>
            <w:r w:rsidRPr="00877B95">
              <w:rPr>
                <w:sz w:val="19"/>
              </w:rPr>
              <w:t xml:space="preserve"> jebkurā brīdī viesu uzturēšanās laikā (vismaz reizi 3 nedēļās dzīvokļu tipa viesnīcās) vai </w:t>
            </w:r>
            <w:r w:rsidR="00BF064B" w:rsidRPr="00877B95">
              <w:rPr>
                <w:sz w:val="19"/>
              </w:rPr>
              <w:t>,</w:t>
            </w:r>
            <w:r w:rsidRPr="00877B95">
              <w:rPr>
                <w:sz w:val="19"/>
              </w:rPr>
              <w:t>ja numurs tiek izmantots kā privāta dzīvesvieta bez viesmīlības pakalpojumiem, t</w:t>
            </w:r>
            <w:r w:rsidR="00BF064B" w:rsidRPr="00877B95">
              <w:rPr>
                <w:sz w:val="19"/>
              </w:rPr>
              <w:t xml:space="preserve">as nav </w:t>
            </w:r>
            <w:r w:rsidRPr="00877B95">
              <w:rPr>
                <w:sz w:val="19"/>
              </w:rPr>
              <w:t>iekļau</w:t>
            </w:r>
            <w:r w:rsidR="00BF064B" w:rsidRPr="00877B95">
              <w:rPr>
                <w:sz w:val="19"/>
              </w:rPr>
              <w:t>jams</w:t>
            </w:r>
            <w:r w:rsidRPr="00877B95">
              <w:rPr>
                <w:sz w:val="19"/>
              </w:rPr>
              <w:t xml:space="preserve"> </w:t>
            </w:r>
            <w:r w:rsidR="00BF064B" w:rsidRPr="00877B95">
              <w:rPr>
                <w:sz w:val="19"/>
              </w:rPr>
              <w:t>Zaļās Atslēgas</w:t>
            </w:r>
            <w:r w:rsidRPr="00877B95">
              <w:rPr>
                <w:sz w:val="19"/>
              </w:rPr>
              <w:t xml:space="preserve"> sertifikācijas </w:t>
            </w:r>
            <w:r w:rsidR="00BF064B" w:rsidRPr="00877B95">
              <w:rPr>
                <w:sz w:val="19"/>
              </w:rPr>
              <w:t>tvērumā</w:t>
            </w:r>
            <w:r w:rsidRPr="00877B95">
              <w:rPr>
                <w:sz w:val="19"/>
              </w:rPr>
              <w:t>.</w:t>
            </w:r>
          </w:p>
          <w:p w14:paraId="688982A2" w14:textId="77777777" w:rsidR="00775B7F" w:rsidRPr="00877B95" w:rsidRDefault="00775B7F">
            <w:pPr>
              <w:pStyle w:val="TableParagraph"/>
              <w:spacing w:before="15"/>
              <w:ind w:left="0"/>
              <w:rPr>
                <w:sz w:val="20"/>
              </w:rPr>
            </w:pPr>
          </w:p>
          <w:p w14:paraId="7E65627B" w14:textId="77777777" w:rsidR="00775B7F" w:rsidRPr="00877B95" w:rsidRDefault="009D48F4">
            <w:pPr>
              <w:pStyle w:val="TableParagraph"/>
              <w:rPr>
                <w:b/>
                <w:sz w:val="20"/>
              </w:rPr>
            </w:pPr>
            <w:r w:rsidRPr="00877B95">
              <w:rPr>
                <w:b/>
                <w:spacing w:val="-2"/>
                <w:sz w:val="19"/>
              </w:rPr>
              <w:t>Atbilstība:</w:t>
            </w:r>
          </w:p>
          <w:p w14:paraId="127FFC87" w14:textId="5A80BB92" w:rsidR="00775B7F" w:rsidRPr="00877B95" w:rsidRDefault="009D48F4">
            <w:pPr>
              <w:pStyle w:val="TableParagraph"/>
              <w:spacing w:before="10" w:line="249" w:lineRule="auto"/>
              <w:rPr>
                <w:sz w:val="20"/>
              </w:rPr>
            </w:pPr>
            <w:r w:rsidRPr="00877B95">
              <w:rPr>
                <w:sz w:val="19"/>
              </w:rPr>
              <w:t xml:space="preserve">Lai atbilstu </w:t>
            </w:r>
            <w:r w:rsidR="00BF064B" w:rsidRPr="00877B95">
              <w:rPr>
                <w:sz w:val="19"/>
              </w:rPr>
              <w:t>Zaļās Atslēgas viesnīcu un hosteļu kategorijas</w:t>
            </w:r>
            <w:r w:rsidRPr="00877B95">
              <w:rPr>
                <w:sz w:val="19"/>
              </w:rPr>
              <w:t xml:space="preserve"> kritērijiem, pieteikuma iesniedzēja</w:t>
            </w:r>
            <w:r w:rsidR="00BF064B" w:rsidRPr="00877B95">
              <w:rPr>
                <w:sz w:val="19"/>
              </w:rPr>
              <w:t xml:space="preserve"> </w:t>
            </w:r>
            <w:r w:rsidRPr="00877B95">
              <w:rPr>
                <w:sz w:val="19"/>
              </w:rPr>
              <w:t xml:space="preserve">galvenā darbības joma ir </w:t>
            </w:r>
            <w:r w:rsidR="00BF064B" w:rsidRPr="00877B95">
              <w:rPr>
                <w:sz w:val="19"/>
              </w:rPr>
              <w:t xml:space="preserve">viesmīlības pakalpojumu sniegšana </w:t>
            </w:r>
            <w:r w:rsidRPr="00877B95">
              <w:rPr>
                <w:sz w:val="19"/>
              </w:rPr>
              <w:t>viesnīc</w:t>
            </w:r>
            <w:r w:rsidR="00BF064B" w:rsidRPr="00877B95">
              <w:rPr>
                <w:sz w:val="19"/>
              </w:rPr>
              <w:t xml:space="preserve">ā vai </w:t>
            </w:r>
            <w:r w:rsidRPr="00877B95">
              <w:rPr>
                <w:sz w:val="19"/>
              </w:rPr>
              <w:t>hostel</w:t>
            </w:r>
            <w:r w:rsidR="00BF064B" w:rsidRPr="00877B95">
              <w:rPr>
                <w:sz w:val="19"/>
              </w:rPr>
              <w:t>ī</w:t>
            </w:r>
            <w:r w:rsidRPr="00877B95">
              <w:rPr>
                <w:sz w:val="19"/>
              </w:rPr>
              <w:t xml:space="preserve">. To var </w:t>
            </w:r>
            <w:r w:rsidR="00BF064B" w:rsidRPr="00877B95">
              <w:rPr>
                <w:sz w:val="19"/>
              </w:rPr>
              <w:t>apstiprināt,</w:t>
            </w:r>
            <w:r w:rsidRPr="00877B95">
              <w:rPr>
                <w:sz w:val="19"/>
              </w:rPr>
              <w:t xml:space="preserve"> ja ir izpildīts vismaz viens no šādiem nosacījumiem:</w:t>
            </w:r>
          </w:p>
          <w:p w14:paraId="5307737A" w14:textId="77777777" w:rsidR="00775B7F" w:rsidRPr="00877B95" w:rsidRDefault="009D48F4">
            <w:pPr>
              <w:pStyle w:val="TableParagraph"/>
              <w:numPr>
                <w:ilvl w:val="0"/>
                <w:numId w:val="10"/>
              </w:numPr>
              <w:tabs>
                <w:tab w:val="left" w:pos="828"/>
                <w:tab w:val="left" w:pos="830"/>
              </w:tabs>
              <w:spacing w:before="2" w:line="249" w:lineRule="auto"/>
              <w:ind w:right="107"/>
              <w:rPr>
                <w:sz w:val="20"/>
              </w:rPr>
            </w:pPr>
            <w:r w:rsidRPr="00877B95">
              <w:rPr>
                <w:sz w:val="19"/>
              </w:rPr>
              <w:t>Iestāde ir oficiāli reģistrēta kā viesnīca/hostelis, un šī funkcija ir oficiāli reģistrēta kā tās galvenā darbība saskaņā ar valsts tiesību aktiem.</w:t>
            </w:r>
          </w:p>
          <w:p w14:paraId="5FE5DE25" w14:textId="77777777" w:rsidR="00775B7F" w:rsidRPr="00877B95" w:rsidRDefault="009D48F4">
            <w:pPr>
              <w:pStyle w:val="TableParagraph"/>
              <w:numPr>
                <w:ilvl w:val="0"/>
                <w:numId w:val="10"/>
              </w:numPr>
              <w:tabs>
                <w:tab w:val="left" w:pos="828"/>
              </w:tabs>
              <w:spacing w:before="2"/>
              <w:ind w:left="828" w:hanging="358"/>
              <w:rPr>
                <w:sz w:val="20"/>
              </w:rPr>
            </w:pPr>
            <w:r w:rsidRPr="00877B95">
              <w:rPr>
                <w:sz w:val="19"/>
              </w:rPr>
              <w:t xml:space="preserve">Iestādes galvenā darbība ir viesmīlības un naktsmītņu </w:t>
            </w:r>
            <w:r w:rsidRPr="00877B95">
              <w:rPr>
                <w:spacing w:val="-2"/>
                <w:sz w:val="19"/>
              </w:rPr>
              <w:t xml:space="preserve">pakalpojumu </w:t>
            </w:r>
            <w:r w:rsidRPr="00877B95">
              <w:rPr>
                <w:sz w:val="19"/>
              </w:rPr>
              <w:t>sniegšana.</w:t>
            </w:r>
          </w:p>
          <w:p w14:paraId="10880E95" w14:textId="20D7448C" w:rsidR="00775B7F" w:rsidRPr="00877B95" w:rsidRDefault="009D48F4">
            <w:pPr>
              <w:pStyle w:val="TableParagraph"/>
              <w:numPr>
                <w:ilvl w:val="0"/>
                <w:numId w:val="10"/>
              </w:numPr>
              <w:tabs>
                <w:tab w:val="left" w:pos="828"/>
                <w:tab w:val="left" w:pos="830"/>
              </w:tabs>
              <w:spacing w:line="240" w:lineRule="atLeast"/>
              <w:ind w:right="93"/>
              <w:rPr>
                <w:sz w:val="20"/>
              </w:rPr>
            </w:pPr>
            <w:r w:rsidRPr="00877B95">
              <w:rPr>
                <w:sz w:val="19"/>
              </w:rPr>
              <w:t>Iestādes mārketing</w:t>
            </w:r>
            <w:r w:rsidR="00B2536D" w:rsidRPr="00877B95">
              <w:rPr>
                <w:sz w:val="19"/>
              </w:rPr>
              <w:t xml:space="preserve">a aktivitātes </w:t>
            </w:r>
            <w:r w:rsidRPr="00877B95">
              <w:rPr>
                <w:sz w:val="19"/>
              </w:rPr>
              <w:t xml:space="preserve">un komunikācija ar klientiem, kā arī </w:t>
            </w:r>
            <w:r w:rsidR="00B2536D" w:rsidRPr="00877B95">
              <w:rPr>
                <w:sz w:val="19"/>
              </w:rPr>
              <w:t>sākotnējā</w:t>
            </w:r>
            <w:r w:rsidRPr="00877B95">
              <w:rPr>
                <w:sz w:val="19"/>
              </w:rPr>
              <w:t xml:space="preserve"> pārbaudē </w:t>
            </w:r>
            <w:r w:rsidR="00B2536D" w:rsidRPr="00877B95">
              <w:rPr>
                <w:sz w:val="19"/>
              </w:rPr>
              <w:t>sniegtā informācija</w:t>
            </w:r>
            <w:r w:rsidR="00CF4F68" w:rsidRPr="00877B95">
              <w:rPr>
                <w:sz w:val="19"/>
              </w:rPr>
              <w:t xml:space="preserve"> </w:t>
            </w:r>
            <w:r w:rsidRPr="00877B95">
              <w:rPr>
                <w:sz w:val="19"/>
              </w:rPr>
              <w:t xml:space="preserve">apstiprina, ka galvenā darbība ir </w:t>
            </w:r>
            <w:r w:rsidR="00BF064B" w:rsidRPr="00877B95">
              <w:rPr>
                <w:sz w:val="19"/>
              </w:rPr>
              <w:t xml:space="preserve">viesmīlības pakalpojumu sniegšans </w:t>
            </w:r>
            <w:r w:rsidRPr="00877B95">
              <w:rPr>
                <w:sz w:val="19"/>
              </w:rPr>
              <w:t>viesnīc</w:t>
            </w:r>
            <w:r w:rsidR="00BF064B" w:rsidRPr="00877B95">
              <w:rPr>
                <w:sz w:val="19"/>
              </w:rPr>
              <w:t xml:space="preserve">ā vai </w:t>
            </w:r>
            <w:r w:rsidRPr="00877B95">
              <w:rPr>
                <w:sz w:val="19"/>
              </w:rPr>
              <w:t>hoste</w:t>
            </w:r>
            <w:r w:rsidR="00BF064B" w:rsidRPr="00877B95">
              <w:rPr>
                <w:sz w:val="19"/>
              </w:rPr>
              <w:t>lī</w:t>
            </w:r>
            <w:r w:rsidRPr="00877B95">
              <w:rPr>
                <w:sz w:val="19"/>
              </w:rPr>
              <w:t>.</w:t>
            </w:r>
          </w:p>
        </w:tc>
      </w:tr>
      <w:tr w:rsidR="00775B7F" w:rsidRPr="00877B95" w14:paraId="781AC68B" w14:textId="77777777">
        <w:trPr>
          <w:trHeight w:val="1032"/>
        </w:trPr>
        <w:tc>
          <w:tcPr>
            <w:tcW w:w="3060" w:type="dxa"/>
          </w:tcPr>
          <w:p w14:paraId="07CBC399" w14:textId="01BDE4AE" w:rsidR="00775B7F" w:rsidRPr="00877B95" w:rsidRDefault="009D48F4">
            <w:pPr>
              <w:pStyle w:val="TableParagraph"/>
              <w:spacing w:before="250" w:line="249" w:lineRule="auto"/>
              <w:rPr>
                <w:b/>
              </w:rPr>
            </w:pPr>
            <w:r w:rsidRPr="00877B95">
              <w:rPr>
                <w:b/>
                <w:w w:val="90"/>
                <w:sz w:val="21"/>
              </w:rPr>
              <w:t xml:space="preserve">Kempingi un </w:t>
            </w:r>
            <w:r w:rsidR="00BF064B" w:rsidRPr="00877B95">
              <w:rPr>
                <w:b/>
                <w:w w:val="90"/>
                <w:sz w:val="21"/>
              </w:rPr>
              <w:t>brīvdienu</w:t>
            </w:r>
            <w:r w:rsidRPr="00877B95">
              <w:rPr>
                <w:b/>
                <w:w w:val="90"/>
                <w:sz w:val="21"/>
              </w:rPr>
              <w:t xml:space="preserve"> parki </w:t>
            </w:r>
            <w:r w:rsidRPr="00877B95">
              <w:rPr>
                <w:b/>
                <w:spacing w:val="-2"/>
                <w:sz w:val="21"/>
              </w:rPr>
              <w:t>(CHP)</w:t>
            </w:r>
          </w:p>
        </w:tc>
        <w:tc>
          <w:tcPr>
            <w:tcW w:w="10936" w:type="dxa"/>
          </w:tcPr>
          <w:p w14:paraId="2F1B7CEE" w14:textId="77777777" w:rsidR="00775B7F" w:rsidRPr="00877B95" w:rsidRDefault="00775B7F">
            <w:pPr>
              <w:pStyle w:val="TableParagraph"/>
              <w:spacing w:before="19"/>
              <w:ind w:left="0"/>
              <w:rPr>
                <w:sz w:val="20"/>
              </w:rPr>
            </w:pPr>
          </w:p>
          <w:p w14:paraId="4C9480B7" w14:textId="11CA01F1" w:rsidR="00775B7F" w:rsidRPr="00877B95" w:rsidRDefault="009D48F4">
            <w:pPr>
              <w:pStyle w:val="TableParagraph"/>
              <w:spacing w:line="249" w:lineRule="auto"/>
              <w:ind w:right="97"/>
              <w:jc w:val="both"/>
              <w:rPr>
                <w:b/>
                <w:sz w:val="20"/>
              </w:rPr>
            </w:pPr>
            <w:r w:rsidRPr="00877B95">
              <w:rPr>
                <w:b/>
                <w:sz w:val="19"/>
              </w:rPr>
              <w:t xml:space="preserve">Zaļās </w:t>
            </w:r>
            <w:r w:rsidR="00F07186" w:rsidRPr="00877B95">
              <w:rPr>
                <w:b/>
                <w:sz w:val="19"/>
              </w:rPr>
              <w:t>A</w:t>
            </w:r>
            <w:r w:rsidRPr="00877B95">
              <w:rPr>
                <w:b/>
                <w:sz w:val="19"/>
              </w:rPr>
              <w:t xml:space="preserve">tslēgas kempingu un </w:t>
            </w:r>
            <w:r w:rsidR="00B2536D" w:rsidRPr="00877B95">
              <w:rPr>
                <w:b/>
                <w:sz w:val="19"/>
              </w:rPr>
              <w:t>brīvdienu</w:t>
            </w:r>
            <w:r w:rsidRPr="00877B95">
              <w:rPr>
                <w:b/>
                <w:sz w:val="19"/>
              </w:rPr>
              <w:t xml:space="preserve"> parku </w:t>
            </w:r>
            <w:r w:rsidR="00B2536D" w:rsidRPr="00877B95">
              <w:rPr>
                <w:b/>
                <w:sz w:val="19"/>
              </w:rPr>
              <w:t xml:space="preserve">kategorijas </w:t>
            </w:r>
            <w:r w:rsidRPr="00877B95">
              <w:rPr>
                <w:b/>
                <w:sz w:val="19"/>
              </w:rPr>
              <w:t xml:space="preserve">kritēriji attiecas uz kempingiem, ekokempingiem, tuksneša kempingiem, parkiem, </w:t>
            </w:r>
            <w:r w:rsidRPr="00877B95">
              <w:rPr>
                <w:b/>
                <w:w w:val="90"/>
                <w:sz w:val="19"/>
              </w:rPr>
              <w:t xml:space="preserve">kas sastāv no vasaras mājām, kotedžām, </w:t>
            </w:r>
            <w:r w:rsidR="00B2536D" w:rsidRPr="00877B95">
              <w:rPr>
                <w:b/>
                <w:w w:val="90"/>
                <w:sz w:val="19"/>
              </w:rPr>
              <w:t>atpūtas mājiņām</w:t>
            </w:r>
            <w:r w:rsidRPr="00877B95">
              <w:rPr>
                <w:b/>
                <w:w w:val="90"/>
                <w:sz w:val="19"/>
              </w:rPr>
              <w:t xml:space="preserve"> vai mobilajām mājām, </w:t>
            </w:r>
            <w:r w:rsidR="00B2536D" w:rsidRPr="00877B95">
              <w:rPr>
                <w:b/>
                <w:w w:val="90"/>
                <w:sz w:val="19"/>
              </w:rPr>
              <w:t>apartamentiem</w:t>
            </w:r>
            <w:r w:rsidRPr="00877B95">
              <w:rPr>
                <w:b/>
                <w:w w:val="90"/>
                <w:sz w:val="19"/>
              </w:rPr>
              <w:t xml:space="preserve"> atpūtas parkos utt., kuriem bieži ir kopīgas iekārtas, piemēram, koplietošanas </w:t>
            </w:r>
            <w:r w:rsidR="00B2536D" w:rsidRPr="00877B95">
              <w:rPr>
                <w:b/>
                <w:w w:val="90"/>
                <w:sz w:val="19"/>
              </w:rPr>
              <w:t xml:space="preserve">tipa </w:t>
            </w:r>
            <w:r w:rsidRPr="00877B95">
              <w:rPr>
                <w:b/>
                <w:w w:val="90"/>
                <w:sz w:val="19"/>
              </w:rPr>
              <w:t xml:space="preserve">tualetes/dušas, koplietošanas virtuve un atpūtas zonas āra teritorijā. Iestādes, kurās notiek </w:t>
            </w:r>
            <w:r w:rsidRPr="00877B95">
              <w:rPr>
                <w:b/>
                <w:spacing w:val="-2"/>
                <w:w w:val="90"/>
                <w:sz w:val="19"/>
              </w:rPr>
              <w:t>lielāki</w:t>
            </w:r>
          </w:p>
        </w:tc>
      </w:tr>
    </w:tbl>
    <w:p w14:paraId="363FA913" w14:textId="77777777" w:rsidR="00775B7F" w:rsidRPr="00877B95" w:rsidRDefault="009D48F4">
      <w:pPr>
        <w:pStyle w:val="BodyText"/>
        <w:spacing w:before="144"/>
      </w:pPr>
      <w:r w:rsidRPr="00877B95">
        <w:rPr>
          <w:noProof/>
        </w:rPr>
        <mc:AlternateContent>
          <mc:Choice Requires="wps">
            <w:drawing>
              <wp:anchor distT="0" distB="0" distL="0" distR="0" simplePos="0" relativeHeight="251659264" behindDoc="1" locked="0" layoutInCell="1" allowOverlap="1" wp14:anchorId="1888C1D1" wp14:editId="51803A9B">
                <wp:simplePos x="0" y="0"/>
                <wp:positionH relativeFrom="page">
                  <wp:posOffset>899160</wp:posOffset>
                </wp:positionH>
                <wp:positionV relativeFrom="paragraph">
                  <wp:posOffset>252933</wp:posOffset>
                </wp:positionV>
                <wp:extent cx="1829435" cy="7620"/>
                <wp:effectExtent l="0" t="0" r="0" b="0"/>
                <wp:wrapTopAndBottom/>
                <wp:docPr id="3" name="Graphic 3"/>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6C9D336" id="Graphic 3" o:spid="_x0000_s1026" style="position:absolute;margin-left:70.8pt;margin-top:19.9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" path="m1829053,l,,,7620r1829053,l1829053,xe" fillcolor="black" stroked="f">
                <v:path arrowok="t"/>
                <w10:wrap type="topAndBottom" anchorx="page"/>
              </v:shape>
            </w:pict>
          </mc:Fallback>
        </mc:AlternateContent>
      </w:r>
    </w:p>
    <w:p w14:paraId="43460B01" w14:textId="77777777" w:rsidR="00775B7F" w:rsidRPr="00877B95" w:rsidRDefault="009D48F4">
      <w:pPr>
        <w:spacing w:before="96"/>
        <w:ind w:left="140"/>
        <w:rPr>
          <w:sz w:val="16"/>
        </w:rPr>
      </w:pPr>
      <w:bookmarkStart w:id="0" w:name="_bookmark0"/>
      <w:bookmarkEnd w:id="0"/>
      <w:r w:rsidRPr="00877B95">
        <w:rPr>
          <w:rFonts w:ascii="Times New Roman"/>
          <w:spacing w:val="-4"/>
          <w:position w:val="7"/>
          <w:sz w:val="12"/>
        </w:rPr>
        <w:t>1</w:t>
      </w:r>
      <w:r w:rsidRPr="00877B95">
        <w:rPr>
          <w:spacing w:val="-4"/>
          <w:sz w:val="15"/>
        </w:rPr>
        <w:t xml:space="preserve">  Skatīt glosāriju</w:t>
      </w:r>
      <w:r w:rsidRPr="00877B95">
        <w:rPr>
          <w:spacing w:val="-7"/>
          <w:sz w:val="15"/>
        </w:rPr>
        <w:t xml:space="preserve"> 1.</w:t>
      </w:r>
      <w:r w:rsidRPr="00877B95">
        <w:rPr>
          <w:spacing w:val="-4"/>
          <w:sz w:val="15"/>
        </w:rPr>
        <w:t xml:space="preserve"> lpp</w:t>
      </w:r>
      <w:r w:rsidRPr="00877B95">
        <w:rPr>
          <w:spacing w:val="-7"/>
          <w:sz w:val="15"/>
        </w:rPr>
        <w:t>.</w:t>
      </w:r>
    </w:p>
    <w:p w14:paraId="7120FBAE" w14:textId="77777777" w:rsidR="00775B7F" w:rsidRPr="00877B95" w:rsidRDefault="00775B7F">
      <w:pPr>
        <w:rPr>
          <w:sz w:val="16"/>
        </w:rPr>
        <w:sectPr w:rsidR="00775B7F" w:rsidRPr="00877B95">
          <w:pgSz w:w="16840" w:h="11910" w:orient="landscape"/>
          <w:pgMar w:top="1340" w:right="1275" w:bottom="1180" w:left="1275" w:header="0" w:footer="986" w:gutter="0"/>
          <w:cols w:space="708"/>
        </w:sectPr>
      </w:pPr>
    </w:p>
    <w:p w14:paraId="196425A5" w14:textId="77777777" w:rsidR="00775B7F" w:rsidRPr="00877B95" w:rsidRDefault="00775B7F">
      <w:pPr>
        <w:pStyle w:val="BodyText"/>
        <w:spacing w:before="1"/>
        <w:rPr>
          <w:sz w:val="6"/>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10936"/>
      </w:tblGrid>
      <w:tr w:rsidR="00775B7F" w:rsidRPr="00877B95" w14:paraId="3CFC88C2" w14:textId="77777777">
        <w:trPr>
          <w:trHeight w:val="6970"/>
        </w:trPr>
        <w:tc>
          <w:tcPr>
            <w:tcW w:w="3060" w:type="dxa"/>
          </w:tcPr>
          <w:p w14:paraId="3204DFEB" w14:textId="77777777" w:rsidR="00775B7F" w:rsidRPr="00877B95" w:rsidRDefault="00775B7F">
            <w:pPr>
              <w:pStyle w:val="TableParagraph"/>
              <w:ind w:left="0"/>
              <w:rPr>
                <w:rFonts w:ascii="Times New Roman"/>
                <w:sz w:val="18"/>
              </w:rPr>
            </w:pPr>
          </w:p>
        </w:tc>
        <w:tc>
          <w:tcPr>
            <w:tcW w:w="10936" w:type="dxa"/>
          </w:tcPr>
          <w:p w14:paraId="000EFDF6" w14:textId="77777777" w:rsidR="00775B7F" w:rsidRPr="00877B95" w:rsidRDefault="009D48F4">
            <w:pPr>
              <w:pStyle w:val="TableParagraph"/>
              <w:spacing w:before="7" w:line="249" w:lineRule="auto"/>
              <w:ind w:right="92"/>
              <w:jc w:val="both"/>
              <w:rPr>
                <w:b/>
                <w:sz w:val="20"/>
              </w:rPr>
            </w:pPr>
            <w:r w:rsidRPr="00877B95">
              <w:rPr>
                <w:b/>
                <w:spacing w:val="-4"/>
                <w:sz w:val="19"/>
              </w:rPr>
              <w:t>būvniecības/renovācijas darbiem</w:t>
            </w:r>
            <w:hyperlink w:anchor="_bookmark1" w:history="1">
              <w:r w:rsidRPr="00877B95">
                <w:rPr>
                  <w:b/>
                  <w:spacing w:val="-4"/>
                  <w:position w:val="7"/>
                  <w:sz w:val="12"/>
                </w:rPr>
                <w:t>2</w:t>
              </w:r>
            </w:hyperlink>
            <w:r w:rsidRPr="00877B95">
              <w:rPr>
                <w:b/>
                <w:spacing w:val="-4"/>
                <w:sz w:val="19"/>
              </w:rPr>
              <w:t xml:space="preserve">  var saņemt sertifikātu tikai pēc darbu pabeigšanas. Lai gan iestādes, kas piedāvā </w:t>
            </w:r>
            <w:r w:rsidRPr="00877B95">
              <w:rPr>
                <w:b/>
                <w:w w:val="90"/>
                <w:sz w:val="19"/>
              </w:rPr>
              <w:t xml:space="preserve">pagaidu/neregulārus pakalpojumus, neietilpst šīs kategorijas darbības jomā, sezonas iestādes var būt tiesīgas saņemt sertifikātu, ja tās ir pilnībā darbspējīgas audita laikā. Kempings/atpūtas parks atrodas vienā pastāvīgā vietā un piedāvā </w:t>
            </w:r>
            <w:r w:rsidRPr="00877B95">
              <w:rPr>
                <w:b/>
                <w:spacing w:val="-2"/>
                <w:sz w:val="19"/>
              </w:rPr>
              <w:t>savus pakalpojumus plašai sabiedrībai.</w:t>
            </w:r>
          </w:p>
          <w:p w14:paraId="5A3173B3" w14:textId="77777777" w:rsidR="00775B7F" w:rsidRPr="00877B95" w:rsidRDefault="00775B7F">
            <w:pPr>
              <w:pStyle w:val="TableParagraph"/>
              <w:spacing w:before="13"/>
              <w:ind w:left="0"/>
              <w:rPr>
                <w:sz w:val="20"/>
              </w:rPr>
            </w:pPr>
          </w:p>
          <w:p w14:paraId="36306FBF" w14:textId="60A4694A" w:rsidR="00775B7F" w:rsidRPr="00877B95" w:rsidRDefault="009D48F4">
            <w:pPr>
              <w:pStyle w:val="TableParagraph"/>
              <w:spacing w:line="249" w:lineRule="auto"/>
              <w:ind w:right="97"/>
              <w:jc w:val="both"/>
              <w:rPr>
                <w:sz w:val="20"/>
              </w:rPr>
            </w:pPr>
            <w:r w:rsidRPr="00877B95">
              <w:rPr>
                <w:spacing w:val="-2"/>
                <w:sz w:val="19"/>
              </w:rPr>
              <w:t>Zaļā</w:t>
            </w:r>
            <w:r w:rsidR="00F07186" w:rsidRPr="00877B95">
              <w:rPr>
                <w:spacing w:val="-2"/>
                <w:sz w:val="19"/>
              </w:rPr>
              <w:t>s</w:t>
            </w:r>
            <w:r w:rsidRPr="00877B95">
              <w:rPr>
                <w:spacing w:val="-2"/>
                <w:sz w:val="19"/>
              </w:rPr>
              <w:t xml:space="preserve"> </w:t>
            </w:r>
            <w:r w:rsidR="00F07186" w:rsidRPr="00877B95">
              <w:rPr>
                <w:spacing w:val="-2"/>
                <w:sz w:val="19"/>
              </w:rPr>
              <w:t>At</w:t>
            </w:r>
            <w:r w:rsidRPr="00877B95">
              <w:rPr>
                <w:spacing w:val="-2"/>
                <w:sz w:val="19"/>
              </w:rPr>
              <w:t>slēga</w:t>
            </w:r>
            <w:r w:rsidR="00F07186" w:rsidRPr="00877B95">
              <w:rPr>
                <w:spacing w:val="-2"/>
                <w:sz w:val="19"/>
              </w:rPr>
              <w:t>s</w:t>
            </w:r>
            <w:r w:rsidRPr="00877B95">
              <w:rPr>
                <w:spacing w:val="-2"/>
                <w:sz w:val="19"/>
              </w:rPr>
              <w:t xml:space="preserve"> sertifikācija parasti neattiecas uz brīvdienu māju tipa īpašumiem, </w:t>
            </w:r>
            <w:r w:rsidR="00F07186" w:rsidRPr="00877B95">
              <w:rPr>
                <w:spacing w:val="-2"/>
                <w:sz w:val="19"/>
              </w:rPr>
              <w:t>kopmītnēm</w:t>
            </w:r>
            <w:r w:rsidRPr="00877B95">
              <w:rPr>
                <w:spacing w:val="-2"/>
                <w:sz w:val="19"/>
              </w:rPr>
              <w:t xml:space="preserve">, pastāvīgām dzīvesvietām, </w:t>
            </w:r>
            <w:r w:rsidRPr="00877B95">
              <w:rPr>
                <w:sz w:val="19"/>
              </w:rPr>
              <w:t>atsevišķām kopdzīves telpām vai ilgtermiņa nomas dzīvokļiem. Tomēr jauktas izmantošanas ēkās vai viesnīcu-dzīvojamo ēku hibrīdos tiek piemēroti šādi nosacījumi:</w:t>
            </w:r>
          </w:p>
          <w:p w14:paraId="7B3BD211" w14:textId="77777777" w:rsidR="00775B7F" w:rsidRPr="00877B95" w:rsidRDefault="009D48F4">
            <w:pPr>
              <w:pStyle w:val="TableParagraph"/>
              <w:numPr>
                <w:ilvl w:val="0"/>
                <w:numId w:val="9"/>
              </w:numPr>
              <w:tabs>
                <w:tab w:val="left" w:pos="829"/>
              </w:tabs>
              <w:spacing w:before="2" w:line="244" w:lineRule="exact"/>
              <w:ind w:left="829" w:hanging="359"/>
              <w:jc w:val="both"/>
              <w:rPr>
                <w:sz w:val="20"/>
              </w:rPr>
            </w:pPr>
            <w:r w:rsidRPr="00877B95">
              <w:rPr>
                <w:sz w:val="19"/>
              </w:rPr>
              <w:t xml:space="preserve">Gan īstermiņa, gan ilgtermiņa īre (istabas vai dzīvokļi) var tikt iekļauti tikai </w:t>
            </w:r>
            <w:r w:rsidRPr="00877B95">
              <w:rPr>
                <w:spacing w:val="-5"/>
                <w:sz w:val="19"/>
              </w:rPr>
              <w:t>tad</w:t>
            </w:r>
            <w:r w:rsidRPr="00877B95">
              <w:rPr>
                <w:sz w:val="19"/>
              </w:rPr>
              <w:t>,</w:t>
            </w:r>
            <w:r w:rsidRPr="00877B95">
              <w:rPr>
                <w:spacing w:val="-5"/>
                <w:sz w:val="19"/>
              </w:rPr>
              <w:t xml:space="preserve"> ja:</w:t>
            </w:r>
          </w:p>
          <w:p w14:paraId="40F6D4A8" w14:textId="20CB789F" w:rsidR="00775B7F" w:rsidRPr="00877B95" w:rsidRDefault="003859BE">
            <w:pPr>
              <w:pStyle w:val="TableParagraph"/>
              <w:numPr>
                <w:ilvl w:val="1"/>
                <w:numId w:val="9"/>
              </w:numPr>
              <w:tabs>
                <w:tab w:val="left" w:pos="1551"/>
              </w:tabs>
              <w:spacing w:before="5" w:line="232" w:lineRule="auto"/>
              <w:ind w:right="96"/>
              <w:jc w:val="both"/>
              <w:rPr>
                <w:sz w:val="20"/>
              </w:rPr>
            </w:pPr>
            <w:r w:rsidRPr="00877B95">
              <w:rPr>
                <w:sz w:val="19"/>
              </w:rPr>
              <w:t>Ir nodrošināta regulāra piekļuve izīrētajai vienībai viesu uzturēšanās laikā (piemēram, tīrīšanai vai apkopšanai); un</w:t>
            </w:r>
          </w:p>
          <w:p w14:paraId="5848FBE2" w14:textId="0FEA46DF" w:rsidR="00775B7F" w:rsidRPr="00877B95" w:rsidRDefault="003859BE">
            <w:pPr>
              <w:pStyle w:val="TableParagraph"/>
              <w:numPr>
                <w:ilvl w:val="1"/>
                <w:numId w:val="9"/>
              </w:numPr>
              <w:tabs>
                <w:tab w:val="left" w:pos="1551"/>
              </w:tabs>
              <w:spacing w:before="16" w:line="232" w:lineRule="auto"/>
              <w:ind w:right="105"/>
              <w:jc w:val="both"/>
              <w:rPr>
                <w:sz w:val="20"/>
              </w:rPr>
            </w:pPr>
            <w:r w:rsidRPr="00877B95">
              <w:rPr>
                <w:sz w:val="19"/>
              </w:rPr>
              <w:t>tiek garantēts, ka standarta viesmīlības pakalpojumi tiek sniegti nepārtraukti, neatkarīgi no īres ilguma.</w:t>
            </w:r>
          </w:p>
          <w:p w14:paraId="02F3F88E" w14:textId="3E9D586B" w:rsidR="00775B7F" w:rsidRPr="00877B95" w:rsidRDefault="009D48F4">
            <w:pPr>
              <w:pStyle w:val="TableParagraph"/>
              <w:numPr>
                <w:ilvl w:val="0"/>
                <w:numId w:val="9"/>
              </w:numPr>
              <w:tabs>
                <w:tab w:val="left" w:pos="830"/>
              </w:tabs>
              <w:spacing w:before="13" w:line="244" w:lineRule="auto"/>
              <w:ind w:right="96"/>
              <w:jc w:val="both"/>
              <w:rPr>
                <w:sz w:val="20"/>
              </w:rPr>
            </w:pPr>
            <w:r w:rsidRPr="00877B95">
              <w:rPr>
                <w:sz w:val="19"/>
              </w:rPr>
              <w:t xml:space="preserve">Ja </w:t>
            </w:r>
            <w:r w:rsidR="003859BE" w:rsidRPr="00877B95">
              <w:rPr>
                <w:sz w:val="19"/>
              </w:rPr>
              <w:t>uzņēmuma pārstāvis</w:t>
            </w:r>
            <w:r w:rsidRPr="00877B95">
              <w:rPr>
                <w:sz w:val="19"/>
              </w:rPr>
              <w:t xml:space="preserve"> nevar iekļūt vienībā jebkurā brīdī viesu uzturēšanās laikā (vismaz reizi 3 nedēļās dzīvokļu tipa iestādēs) vai ja vienība tiek izmantota kā privāta dzīvesvieta bez viesmīlības pakalpojumiem, t</w:t>
            </w:r>
            <w:r w:rsidR="003859BE" w:rsidRPr="00877B95">
              <w:rPr>
                <w:sz w:val="19"/>
              </w:rPr>
              <w:t>ā</w:t>
            </w:r>
            <w:r w:rsidRPr="00877B95">
              <w:rPr>
                <w:sz w:val="19"/>
              </w:rPr>
              <w:t xml:space="preserve"> </w:t>
            </w:r>
            <w:r w:rsidR="003859BE" w:rsidRPr="00877B95">
              <w:rPr>
                <w:sz w:val="19"/>
              </w:rPr>
              <w:t>nav</w:t>
            </w:r>
            <w:r w:rsidRPr="00877B95">
              <w:rPr>
                <w:sz w:val="19"/>
              </w:rPr>
              <w:t xml:space="preserve"> iekļau</w:t>
            </w:r>
            <w:r w:rsidR="003859BE" w:rsidRPr="00877B95">
              <w:rPr>
                <w:sz w:val="19"/>
              </w:rPr>
              <w:t>jama</w:t>
            </w:r>
            <w:r w:rsidRPr="00877B95">
              <w:rPr>
                <w:sz w:val="19"/>
              </w:rPr>
              <w:t xml:space="preserve"> </w:t>
            </w:r>
            <w:r w:rsidR="003859BE" w:rsidRPr="00877B95">
              <w:rPr>
                <w:sz w:val="19"/>
              </w:rPr>
              <w:t>Zaļās Atslēgas</w:t>
            </w:r>
            <w:r w:rsidRPr="00877B95">
              <w:rPr>
                <w:sz w:val="19"/>
              </w:rPr>
              <w:t xml:space="preserve"> sertifikācijas darbības </w:t>
            </w:r>
            <w:r w:rsidR="003859BE" w:rsidRPr="00877B95">
              <w:rPr>
                <w:sz w:val="19"/>
              </w:rPr>
              <w:t>tvērumā</w:t>
            </w:r>
            <w:r w:rsidRPr="00877B95">
              <w:rPr>
                <w:sz w:val="19"/>
              </w:rPr>
              <w:t>.</w:t>
            </w:r>
          </w:p>
          <w:p w14:paraId="6492FED4" w14:textId="77777777" w:rsidR="00775B7F" w:rsidRPr="00877B95" w:rsidRDefault="00775B7F">
            <w:pPr>
              <w:pStyle w:val="TableParagraph"/>
              <w:spacing w:before="15"/>
              <w:ind w:left="0"/>
              <w:rPr>
                <w:sz w:val="20"/>
              </w:rPr>
            </w:pPr>
          </w:p>
          <w:p w14:paraId="76470167" w14:textId="77777777" w:rsidR="00775B7F" w:rsidRPr="00877B95" w:rsidRDefault="009D48F4">
            <w:pPr>
              <w:pStyle w:val="TableParagraph"/>
              <w:rPr>
                <w:b/>
                <w:sz w:val="20"/>
              </w:rPr>
            </w:pPr>
            <w:r w:rsidRPr="00877B95">
              <w:rPr>
                <w:b/>
                <w:spacing w:val="-2"/>
                <w:sz w:val="19"/>
              </w:rPr>
              <w:t>Atbilstība:</w:t>
            </w:r>
          </w:p>
          <w:p w14:paraId="1D0DBCF6" w14:textId="0F0BAEBB" w:rsidR="00775B7F" w:rsidRPr="00877B95" w:rsidRDefault="009D48F4">
            <w:pPr>
              <w:pStyle w:val="TableParagraph"/>
              <w:spacing w:before="10" w:line="249" w:lineRule="auto"/>
              <w:rPr>
                <w:sz w:val="20"/>
              </w:rPr>
            </w:pPr>
            <w:r w:rsidRPr="00877B95">
              <w:rPr>
                <w:sz w:val="19"/>
              </w:rPr>
              <w:t xml:space="preserve">Lai atbilstu </w:t>
            </w:r>
            <w:r w:rsidR="003859BE" w:rsidRPr="00877B95">
              <w:rPr>
                <w:sz w:val="19"/>
              </w:rPr>
              <w:t>Zaļās atslēgas</w:t>
            </w:r>
            <w:r w:rsidRPr="00877B95">
              <w:rPr>
                <w:sz w:val="19"/>
              </w:rPr>
              <w:t xml:space="preserve"> kempingu un </w:t>
            </w:r>
            <w:r w:rsidR="003859BE" w:rsidRPr="00877B95">
              <w:rPr>
                <w:sz w:val="19"/>
              </w:rPr>
              <w:t>brīvdienu</w:t>
            </w:r>
            <w:r w:rsidRPr="00877B95">
              <w:rPr>
                <w:sz w:val="19"/>
              </w:rPr>
              <w:t xml:space="preserve"> parku </w:t>
            </w:r>
            <w:r w:rsidR="003859BE" w:rsidRPr="00877B95">
              <w:rPr>
                <w:sz w:val="19"/>
              </w:rPr>
              <w:t xml:space="preserve">kategorijas </w:t>
            </w:r>
            <w:r w:rsidRPr="00877B95">
              <w:rPr>
                <w:sz w:val="19"/>
              </w:rPr>
              <w:t>kritērijiem, pieteikuma iesniedzēja galvenajai darbībai jābūt kempinga/</w:t>
            </w:r>
            <w:r w:rsidR="003859BE" w:rsidRPr="00877B95">
              <w:rPr>
                <w:sz w:val="19"/>
              </w:rPr>
              <w:t>brīvdienu</w:t>
            </w:r>
            <w:r w:rsidRPr="00877B95">
              <w:rPr>
                <w:sz w:val="19"/>
              </w:rPr>
              <w:t xml:space="preserve"> parka darbībai. To var </w:t>
            </w:r>
            <w:r w:rsidR="003859BE" w:rsidRPr="00877B95">
              <w:rPr>
                <w:sz w:val="19"/>
              </w:rPr>
              <w:t>apstiprināt</w:t>
            </w:r>
            <w:r w:rsidRPr="00877B95">
              <w:rPr>
                <w:sz w:val="19"/>
              </w:rPr>
              <w:t>, ja ir izpildīts vismaz viens no šādiem nosacījumiem:</w:t>
            </w:r>
          </w:p>
          <w:p w14:paraId="3316FC77" w14:textId="5FA5B49B" w:rsidR="00775B7F" w:rsidRPr="00877B95" w:rsidRDefault="009D48F4">
            <w:pPr>
              <w:pStyle w:val="TableParagraph"/>
              <w:numPr>
                <w:ilvl w:val="0"/>
                <w:numId w:val="8"/>
              </w:numPr>
              <w:tabs>
                <w:tab w:val="left" w:pos="828"/>
                <w:tab w:val="left" w:pos="830"/>
              </w:tabs>
              <w:spacing w:before="2" w:line="249" w:lineRule="auto"/>
              <w:ind w:right="97"/>
              <w:rPr>
                <w:sz w:val="20"/>
              </w:rPr>
            </w:pPr>
            <w:r w:rsidRPr="00877B95">
              <w:rPr>
                <w:sz w:val="19"/>
              </w:rPr>
              <w:t>Iestāde ir oficiāli reģistrēta kā kempings/</w:t>
            </w:r>
            <w:r w:rsidR="003859BE" w:rsidRPr="00877B95">
              <w:rPr>
                <w:sz w:val="19"/>
              </w:rPr>
              <w:t>brīvdienu</w:t>
            </w:r>
            <w:r w:rsidRPr="00877B95">
              <w:rPr>
                <w:sz w:val="19"/>
              </w:rPr>
              <w:t xml:space="preserve"> parks, un šī funkcija ir oficiāli reģistrēta kā tās galvenā darbība saskaņā ar valsts tiesību aktiem.</w:t>
            </w:r>
          </w:p>
          <w:p w14:paraId="13E02591" w14:textId="4630DD97" w:rsidR="00775B7F" w:rsidRPr="00877B95" w:rsidRDefault="009D48F4">
            <w:pPr>
              <w:pStyle w:val="TableParagraph"/>
              <w:numPr>
                <w:ilvl w:val="0"/>
                <w:numId w:val="8"/>
              </w:numPr>
              <w:tabs>
                <w:tab w:val="left" w:pos="828"/>
              </w:tabs>
              <w:spacing w:before="1"/>
              <w:ind w:left="828" w:hanging="358"/>
              <w:rPr>
                <w:sz w:val="20"/>
              </w:rPr>
            </w:pPr>
            <w:r w:rsidRPr="00877B95">
              <w:rPr>
                <w:sz w:val="19"/>
              </w:rPr>
              <w:t>Iestādes galvenā darbība ir kempinga/</w:t>
            </w:r>
            <w:r w:rsidR="003859BE" w:rsidRPr="00877B95">
              <w:rPr>
                <w:sz w:val="19"/>
              </w:rPr>
              <w:t>brīvdienu</w:t>
            </w:r>
            <w:r w:rsidRPr="00877B95">
              <w:rPr>
                <w:sz w:val="19"/>
              </w:rPr>
              <w:t xml:space="preserve"> parka </w:t>
            </w:r>
            <w:r w:rsidRPr="00877B95">
              <w:rPr>
                <w:spacing w:val="-2"/>
                <w:sz w:val="19"/>
              </w:rPr>
              <w:t xml:space="preserve">pakalpojumu </w:t>
            </w:r>
            <w:r w:rsidRPr="00877B95">
              <w:rPr>
                <w:sz w:val="19"/>
              </w:rPr>
              <w:t>sniegšana</w:t>
            </w:r>
            <w:r w:rsidRPr="00877B95">
              <w:rPr>
                <w:spacing w:val="-2"/>
                <w:sz w:val="19"/>
              </w:rPr>
              <w:t>.</w:t>
            </w:r>
          </w:p>
          <w:p w14:paraId="190DF855" w14:textId="5995E039" w:rsidR="00775B7F" w:rsidRPr="00877B95" w:rsidRDefault="009D48F4">
            <w:pPr>
              <w:pStyle w:val="TableParagraph"/>
              <w:numPr>
                <w:ilvl w:val="0"/>
                <w:numId w:val="8"/>
              </w:numPr>
              <w:tabs>
                <w:tab w:val="left" w:pos="828"/>
                <w:tab w:val="left" w:pos="830"/>
              </w:tabs>
              <w:spacing w:before="10" w:line="249" w:lineRule="auto"/>
              <w:ind w:right="93"/>
              <w:jc w:val="both"/>
              <w:rPr>
                <w:sz w:val="20"/>
              </w:rPr>
            </w:pPr>
            <w:r w:rsidRPr="00877B95">
              <w:rPr>
                <w:sz w:val="19"/>
              </w:rPr>
              <w:t xml:space="preserve">Iestādes </w:t>
            </w:r>
            <w:r w:rsidR="003859BE" w:rsidRPr="00877B95">
              <w:rPr>
                <w:sz w:val="19"/>
              </w:rPr>
              <w:t>mārketinga aktivitātes un komunikācija ar klientiem, kā arī sākotnējā pārbaudē sniegtā informācija apstiprina</w:t>
            </w:r>
            <w:r w:rsidRPr="00877B95">
              <w:rPr>
                <w:sz w:val="19"/>
              </w:rPr>
              <w:t>, ka galvenā darbība ir kempinga/</w:t>
            </w:r>
            <w:r w:rsidR="003859BE" w:rsidRPr="00877B95">
              <w:rPr>
                <w:sz w:val="19"/>
              </w:rPr>
              <w:t>brīvdienu</w:t>
            </w:r>
            <w:r w:rsidRPr="00877B95">
              <w:rPr>
                <w:sz w:val="19"/>
              </w:rPr>
              <w:t xml:space="preserve"> parka darbība.</w:t>
            </w:r>
          </w:p>
          <w:p w14:paraId="47FC8163" w14:textId="77777777" w:rsidR="00775B7F" w:rsidRPr="00877B95" w:rsidRDefault="009D48F4">
            <w:pPr>
              <w:pStyle w:val="TableParagraph"/>
              <w:numPr>
                <w:ilvl w:val="0"/>
                <w:numId w:val="8"/>
              </w:numPr>
              <w:tabs>
                <w:tab w:val="left" w:pos="828"/>
                <w:tab w:val="left" w:pos="830"/>
              </w:tabs>
              <w:spacing w:before="2" w:line="249" w:lineRule="auto"/>
              <w:ind w:right="98"/>
              <w:jc w:val="both"/>
              <w:rPr>
                <w:sz w:val="20"/>
              </w:rPr>
            </w:pPr>
            <w:r w:rsidRPr="00877B95">
              <w:rPr>
                <w:sz w:val="19"/>
              </w:rPr>
              <w:t>Iestāde ar darbības pierādījumiem (piemēram, viesu numuru, kempinga vietu skaits vai viesu statistika pa pakalpojumu kategorijām) pierāda, ka tās galvenā darbība ietilpst šajā kategorijā, pat ja tās oficiālajā reģistrācijā ir norādīts citādi.</w:t>
            </w:r>
          </w:p>
        </w:tc>
      </w:tr>
      <w:tr w:rsidR="00775B7F" w:rsidRPr="00877B95" w14:paraId="58CE00AC" w14:textId="77777777">
        <w:trPr>
          <w:trHeight w:val="1277"/>
        </w:trPr>
        <w:tc>
          <w:tcPr>
            <w:tcW w:w="3060" w:type="dxa"/>
          </w:tcPr>
          <w:p w14:paraId="3F17537E" w14:textId="13C1EB95" w:rsidR="00775B7F" w:rsidRPr="00877B95" w:rsidRDefault="009D48F4">
            <w:pPr>
              <w:pStyle w:val="TableParagraph"/>
              <w:spacing w:before="250"/>
              <w:rPr>
                <w:b/>
              </w:rPr>
            </w:pPr>
            <w:r w:rsidRPr="00877B95">
              <w:rPr>
                <w:b/>
                <w:w w:val="90"/>
                <w:sz w:val="21"/>
              </w:rPr>
              <w:t xml:space="preserve">Mazās </w:t>
            </w:r>
            <w:r w:rsidR="003859BE" w:rsidRPr="00877B95">
              <w:rPr>
                <w:b/>
                <w:w w:val="90"/>
                <w:sz w:val="21"/>
              </w:rPr>
              <w:t>tūrisma mītnes</w:t>
            </w:r>
            <w:r w:rsidRPr="00877B95">
              <w:rPr>
                <w:b/>
                <w:w w:val="90"/>
                <w:sz w:val="21"/>
              </w:rPr>
              <w:t xml:space="preserve"> </w:t>
            </w:r>
            <w:r w:rsidRPr="00877B95">
              <w:rPr>
                <w:b/>
                <w:spacing w:val="-4"/>
                <w:w w:val="90"/>
                <w:sz w:val="21"/>
              </w:rPr>
              <w:t>(SA)</w:t>
            </w:r>
          </w:p>
        </w:tc>
        <w:tc>
          <w:tcPr>
            <w:tcW w:w="10936" w:type="dxa"/>
          </w:tcPr>
          <w:p w14:paraId="7CEADA84" w14:textId="16473502" w:rsidR="00775B7F" w:rsidRPr="00877B95" w:rsidRDefault="009D48F4">
            <w:pPr>
              <w:pStyle w:val="TableParagraph"/>
              <w:spacing w:before="217" w:line="260" w:lineRule="atLeast"/>
              <w:ind w:right="92"/>
              <w:jc w:val="both"/>
              <w:rPr>
                <w:b/>
                <w:sz w:val="20"/>
              </w:rPr>
            </w:pPr>
            <w:r w:rsidRPr="00877B95">
              <w:rPr>
                <w:b/>
                <w:spacing w:val="-2"/>
                <w:sz w:val="19"/>
              </w:rPr>
              <w:t xml:space="preserve">Zaļās </w:t>
            </w:r>
            <w:r w:rsidR="00F07186" w:rsidRPr="00877B95">
              <w:rPr>
                <w:b/>
                <w:spacing w:val="-2"/>
                <w:sz w:val="19"/>
              </w:rPr>
              <w:t>A</w:t>
            </w:r>
            <w:r w:rsidRPr="00877B95">
              <w:rPr>
                <w:b/>
                <w:spacing w:val="-2"/>
                <w:sz w:val="19"/>
              </w:rPr>
              <w:t>tslēgas ma</w:t>
            </w:r>
            <w:r w:rsidR="003859BE" w:rsidRPr="00877B95">
              <w:rPr>
                <w:b/>
                <w:spacing w:val="-2"/>
                <w:sz w:val="19"/>
              </w:rPr>
              <w:t>zo</w:t>
            </w:r>
            <w:r w:rsidRPr="00877B95">
              <w:rPr>
                <w:b/>
                <w:spacing w:val="-2"/>
                <w:sz w:val="19"/>
              </w:rPr>
              <w:t xml:space="preserve"> </w:t>
            </w:r>
            <w:r w:rsidR="003859BE" w:rsidRPr="00877B95">
              <w:rPr>
                <w:b/>
                <w:spacing w:val="-2"/>
                <w:sz w:val="19"/>
              </w:rPr>
              <w:t>tūrisma mītņu</w:t>
            </w:r>
            <w:r w:rsidRPr="00877B95">
              <w:rPr>
                <w:b/>
                <w:spacing w:val="-2"/>
                <w:sz w:val="19"/>
              </w:rPr>
              <w:t xml:space="preserve"> kritēriji ir piemērojami pilnībā funkcionējošām naktsmītnēm ar apkalpošanu. Šīs </w:t>
            </w:r>
            <w:r w:rsidRPr="00877B95">
              <w:rPr>
                <w:b/>
                <w:w w:val="90"/>
                <w:sz w:val="19"/>
              </w:rPr>
              <w:t xml:space="preserve">naktsmītnes var būt mazās viesnīcas/hosteli, viesu nami, naktsmītnes ar brokastīm, ekoloģiskās naktsmītnes, ekoloģiskās saimniecības </w:t>
            </w:r>
            <w:r w:rsidRPr="00877B95">
              <w:rPr>
                <w:b/>
                <w:spacing w:val="-2"/>
                <w:sz w:val="19"/>
              </w:rPr>
              <w:t>utt.</w:t>
            </w:r>
            <w:r w:rsidRPr="00877B95">
              <w:rPr>
                <w:b/>
                <w:w w:val="90"/>
                <w:sz w:val="19"/>
              </w:rPr>
              <w:t xml:space="preserve">, </w:t>
            </w:r>
            <w:r w:rsidRPr="00877B95">
              <w:rPr>
                <w:b/>
                <w:spacing w:val="-2"/>
                <w:sz w:val="19"/>
              </w:rPr>
              <w:t>kas piedāvā regulārus viesmīlības pakalpojumus. Iestādes, kurās notiek liela apjoma būvniecības/renovācijas darbi</w:t>
            </w:r>
            <w:hyperlink w:anchor="_bookmark2" w:history="1">
              <w:r w:rsidRPr="00877B95">
                <w:rPr>
                  <w:b/>
                  <w:spacing w:val="-2"/>
                  <w:position w:val="7"/>
                  <w:sz w:val="12"/>
                </w:rPr>
                <w:t>(3),</w:t>
              </w:r>
            </w:hyperlink>
            <w:r w:rsidR="00F07186" w:rsidRPr="00877B95">
              <w:t xml:space="preserve">, </w:t>
            </w:r>
            <w:r w:rsidRPr="00877B95">
              <w:rPr>
                <w:b/>
                <w:spacing w:val="-6"/>
                <w:sz w:val="19"/>
              </w:rPr>
              <w:t xml:space="preserve">sertifikātu </w:t>
            </w:r>
            <w:r w:rsidRPr="00877B95">
              <w:rPr>
                <w:b/>
                <w:spacing w:val="-2"/>
                <w:sz w:val="19"/>
              </w:rPr>
              <w:t xml:space="preserve">var </w:t>
            </w:r>
            <w:r w:rsidRPr="00877B95">
              <w:rPr>
                <w:b/>
                <w:spacing w:val="-6"/>
                <w:sz w:val="19"/>
              </w:rPr>
              <w:t>saņemt</w:t>
            </w:r>
            <w:r w:rsidRPr="00877B95">
              <w:rPr>
                <w:b/>
                <w:spacing w:val="-2"/>
                <w:sz w:val="19"/>
              </w:rPr>
              <w:t xml:space="preserve"> tikai </w:t>
            </w:r>
            <w:r w:rsidRPr="00877B95">
              <w:rPr>
                <w:b/>
                <w:spacing w:val="-6"/>
                <w:sz w:val="19"/>
              </w:rPr>
              <w:t>pēc darbu pabeigšanas. Iestādes, kas piedāvā pagaidu/neregulārus pakalpojumus, neietilpst</w:t>
            </w:r>
          </w:p>
        </w:tc>
      </w:tr>
    </w:tbl>
    <w:p w14:paraId="71FCB6F3" w14:textId="77777777" w:rsidR="00775B7F" w:rsidRPr="00877B95" w:rsidRDefault="009D48F4">
      <w:pPr>
        <w:pStyle w:val="BodyText"/>
        <w:spacing w:before="3"/>
        <w:rPr>
          <w:sz w:val="17"/>
        </w:rPr>
      </w:pPr>
      <w:r w:rsidRPr="00877B95">
        <w:rPr>
          <w:noProof/>
          <w:sz w:val="17"/>
        </w:rPr>
        <mc:AlternateContent>
          <mc:Choice Requires="wps">
            <w:drawing>
              <wp:anchor distT="0" distB="0" distL="0" distR="0" simplePos="0" relativeHeight="251661312" behindDoc="1" locked="0" layoutInCell="1" allowOverlap="1" wp14:anchorId="3F552852" wp14:editId="40F8ADBA">
                <wp:simplePos x="0" y="0"/>
                <wp:positionH relativeFrom="page">
                  <wp:posOffset>899160</wp:posOffset>
                </wp:positionH>
                <wp:positionV relativeFrom="paragraph">
                  <wp:posOffset>141557</wp:posOffset>
                </wp:positionV>
                <wp:extent cx="1829435" cy="7620"/>
                <wp:effectExtent l="0" t="0" r="0" b="0"/>
                <wp:wrapTopAndBottom/>
                <wp:docPr id="4" name="Graphic 4"/>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3C938D7B" id="Graphic 4" o:spid="_x0000_s1026" style="position:absolute;margin-left:70.8pt;margin-top:11.1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" path="m1829053,l,,,7620r1829053,l1829053,xe" fillcolor="black" stroked="f">
                <v:path arrowok="t"/>
                <w10:wrap type="topAndBottom" anchorx="page"/>
              </v:shape>
            </w:pict>
          </mc:Fallback>
        </mc:AlternateContent>
      </w:r>
    </w:p>
    <w:p w14:paraId="07037AC6" w14:textId="77777777" w:rsidR="00775B7F" w:rsidRPr="00877B95" w:rsidRDefault="009D48F4" w:rsidP="00B2536D">
      <w:pPr>
        <w:spacing w:before="99"/>
        <w:rPr>
          <w:sz w:val="16"/>
        </w:rPr>
      </w:pPr>
      <w:bookmarkStart w:id="1" w:name="_bookmark1"/>
      <w:bookmarkEnd w:id="1"/>
      <w:r w:rsidRPr="00877B95">
        <w:rPr>
          <w:rFonts w:ascii="Times New Roman"/>
          <w:spacing w:val="-4"/>
          <w:position w:val="7"/>
          <w:sz w:val="12"/>
        </w:rPr>
        <w:t>2</w:t>
      </w:r>
      <w:r w:rsidRPr="00877B95">
        <w:rPr>
          <w:spacing w:val="-4"/>
          <w:sz w:val="15"/>
        </w:rPr>
        <w:t xml:space="preserve">  Skatīt glosāriju</w:t>
      </w:r>
      <w:r w:rsidRPr="00877B95">
        <w:rPr>
          <w:spacing w:val="-7"/>
          <w:sz w:val="15"/>
        </w:rPr>
        <w:t xml:space="preserve"> 1.</w:t>
      </w:r>
      <w:r w:rsidRPr="00877B95">
        <w:rPr>
          <w:spacing w:val="-4"/>
          <w:sz w:val="15"/>
        </w:rPr>
        <w:t xml:space="preserve"> lpp</w:t>
      </w:r>
      <w:r w:rsidRPr="00877B95">
        <w:rPr>
          <w:spacing w:val="-7"/>
          <w:sz w:val="15"/>
        </w:rPr>
        <w:t>.</w:t>
      </w:r>
    </w:p>
    <w:p w14:paraId="2B89A006" w14:textId="77777777" w:rsidR="00775B7F" w:rsidRPr="00877B95" w:rsidRDefault="009D48F4">
      <w:pPr>
        <w:spacing w:before="2"/>
        <w:ind w:left="140"/>
        <w:rPr>
          <w:sz w:val="16"/>
        </w:rPr>
      </w:pPr>
      <w:bookmarkStart w:id="2" w:name="_bookmark2"/>
      <w:bookmarkEnd w:id="2"/>
      <w:r w:rsidRPr="00877B95">
        <w:rPr>
          <w:rFonts w:ascii="Times New Roman"/>
          <w:spacing w:val="-4"/>
          <w:position w:val="7"/>
          <w:sz w:val="12"/>
        </w:rPr>
        <w:t>3</w:t>
      </w:r>
      <w:r w:rsidRPr="00877B95">
        <w:rPr>
          <w:spacing w:val="-4"/>
          <w:sz w:val="15"/>
        </w:rPr>
        <w:t xml:space="preserve">  Skatīt glosāriju</w:t>
      </w:r>
      <w:r w:rsidRPr="00877B95">
        <w:rPr>
          <w:spacing w:val="-7"/>
          <w:sz w:val="15"/>
        </w:rPr>
        <w:t xml:space="preserve"> 1.</w:t>
      </w:r>
      <w:r w:rsidRPr="00877B95">
        <w:rPr>
          <w:spacing w:val="-4"/>
          <w:sz w:val="15"/>
        </w:rPr>
        <w:t xml:space="preserve"> lpp</w:t>
      </w:r>
      <w:r w:rsidRPr="00877B95">
        <w:rPr>
          <w:spacing w:val="-7"/>
          <w:sz w:val="15"/>
        </w:rPr>
        <w:t>.</w:t>
      </w:r>
    </w:p>
    <w:p w14:paraId="59CCD275" w14:textId="77777777" w:rsidR="00775B7F" w:rsidRPr="00877B95" w:rsidRDefault="00775B7F">
      <w:pPr>
        <w:rPr>
          <w:sz w:val="16"/>
        </w:rPr>
        <w:sectPr w:rsidR="00775B7F" w:rsidRPr="00877B95">
          <w:pgSz w:w="16840" w:h="11910" w:orient="landscape"/>
          <w:pgMar w:top="1340" w:right="1275" w:bottom="1180" w:left="1275" w:header="0" w:footer="986" w:gutter="0"/>
          <w:cols w:space="708"/>
        </w:sectPr>
      </w:pPr>
    </w:p>
    <w:p w14:paraId="21B2A8E6" w14:textId="77777777" w:rsidR="00775B7F" w:rsidRPr="00877B95" w:rsidRDefault="00775B7F">
      <w:pPr>
        <w:pStyle w:val="BodyText"/>
        <w:spacing w:before="1"/>
        <w:rPr>
          <w:sz w:val="6"/>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10936"/>
      </w:tblGrid>
      <w:tr w:rsidR="00775B7F" w:rsidRPr="00877B95" w14:paraId="327A7E11" w14:textId="77777777">
        <w:trPr>
          <w:trHeight w:val="6065"/>
        </w:trPr>
        <w:tc>
          <w:tcPr>
            <w:tcW w:w="3060" w:type="dxa"/>
          </w:tcPr>
          <w:p w14:paraId="5E064397" w14:textId="77777777" w:rsidR="00775B7F" w:rsidRPr="00877B95" w:rsidRDefault="00775B7F">
            <w:pPr>
              <w:pStyle w:val="TableParagraph"/>
              <w:ind w:left="0"/>
              <w:rPr>
                <w:rFonts w:ascii="Times New Roman"/>
                <w:sz w:val="18"/>
              </w:rPr>
            </w:pPr>
          </w:p>
        </w:tc>
        <w:tc>
          <w:tcPr>
            <w:tcW w:w="10936" w:type="dxa"/>
          </w:tcPr>
          <w:p w14:paraId="315BCF00" w14:textId="77112C37" w:rsidR="00775B7F" w:rsidRPr="00877B95" w:rsidRDefault="009D48F4">
            <w:pPr>
              <w:pStyle w:val="TableParagraph"/>
              <w:spacing w:before="11" w:line="268" w:lineRule="auto"/>
              <w:ind w:right="95"/>
              <w:jc w:val="both"/>
              <w:rPr>
                <w:b/>
                <w:sz w:val="20"/>
              </w:rPr>
            </w:pPr>
            <w:r w:rsidRPr="00877B95">
              <w:rPr>
                <w:b/>
                <w:spacing w:val="-6"/>
                <w:sz w:val="19"/>
              </w:rPr>
              <w:t xml:space="preserve">šīs kategorijas </w:t>
            </w:r>
            <w:r w:rsidR="00B2536D" w:rsidRPr="00877B95">
              <w:rPr>
                <w:b/>
                <w:spacing w:val="-6"/>
                <w:sz w:val="19"/>
              </w:rPr>
              <w:t>tvērumā.</w:t>
            </w:r>
            <w:r w:rsidRPr="00877B95">
              <w:rPr>
                <w:b/>
                <w:spacing w:val="-6"/>
                <w:sz w:val="19"/>
              </w:rPr>
              <w:t xml:space="preserve"> </w:t>
            </w:r>
            <w:r w:rsidR="00B2536D" w:rsidRPr="00877B95">
              <w:rPr>
                <w:b/>
                <w:spacing w:val="-6"/>
                <w:sz w:val="19"/>
              </w:rPr>
              <w:t>S</w:t>
            </w:r>
            <w:r w:rsidRPr="00877B95">
              <w:rPr>
                <w:b/>
                <w:spacing w:val="-6"/>
                <w:sz w:val="19"/>
              </w:rPr>
              <w:t>ezon</w:t>
            </w:r>
            <w:r w:rsidR="003859BE" w:rsidRPr="00877B95">
              <w:rPr>
                <w:b/>
                <w:spacing w:val="-6"/>
                <w:sz w:val="19"/>
              </w:rPr>
              <w:t>ālas darbības</w:t>
            </w:r>
            <w:r w:rsidRPr="00877B95">
              <w:rPr>
                <w:b/>
                <w:spacing w:val="-6"/>
                <w:sz w:val="19"/>
              </w:rPr>
              <w:t xml:space="preserve"> iestādes var </w:t>
            </w:r>
            <w:r w:rsidR="00B2536D" w:rsidRPr="00877B95">
              <w:rPr>
                <w:b/>
                <w:spacing w:val="-6"/>
                <w:sz w:val="19"/>
              </w:rPr>
              <w:t>kvalificēties sertifikācijai</w:t>
            </w:r>
            <w:r w:rsidRPr="00877B95">
              <w:rPr>
                <w:b/>
                <w:spacing w:val="-6"/>
                <w:sz w:val="19"/>
              </w:rPr>
              <w:t xml:space="preserve">, ja tās ir pilnībā darbspējīgas </w:t>
            </w:r>
            <w:r w:rsidR="00B2536D" w:rsidRPr="00877B95">
              <w:rPr>
                <w:b/>
                <w:w w:val="90"/>
                <w:sz w:val="19"/>
              </w:rPr>
              <w:t>audita</w:t>
            </w:r>
            <w:r w:rsidRPr="00877B95">
              <w:rPr>
                <w:b/>
                <w:spacing w:val="-6"/>
                <w:sz w:val="19"/>
              </w:rPr>
              <w:t xml:space="preserve"> laikā</w:t>
            </w:r>
            <w:r w:rsidRPr="00877B95">
              <w:rPr>
                <w:b/>
                <w:w w:val="90"/>
                <w:sz w:val="19"/>
              </w:rPr>
              <w:t xml:space="preserve">. Mazā naktsmītne atrodas vienā pastāvīgā vietā, tajā ir ne vairāk kā 20 guļamistabas vai 40 gultasvietas, un </w:t>
            </w:r>
            <w:r w:rsidRPr="00877B95">
              <w:rPr>
                <w:b/>
                <w:spacing w:val="-2"/>
                <w:sz w:val="19"/>
              </w:rPr>
              <w:t>tā piedāvā savus pakalpojumus plašai sabiedrībai.</w:t>
            </w:r>
          </w:p>
          <w:p w14:paraId="2A20EFFE" w14:textId="77777777" w:rsidR="00775B7F" w:rsidRPr="00877B95" w:rsidRDefault="00775B7F">
            <w:pPr>
              <w:pStyle w:val="TableParagraph"/>
              <w:spacing w:before="12"/>
              <w:ind w:left="0"/>
              <w:rPr>
                <w:sz w:val="20"/>
              </w:rPr>
            </w:pPr>
          </w:p>
          <w:p w14:paraId="4CA3B791" w14:textId="744A2997" w:rsidR="00775B7F" w:rsidRPr="00877B95" w:rsidRDefault="009D48F4">
            <w:pPr>
              <w:pStyle w:val="TableParagraph"/>
              <w:spacing w:before="1" w:line="249" w:lineRule="auto"/>
              <w:ind w:right="97"/>
              <w:jc w:val="both"/>
              <w:rPr>
                <w:sz w:val="20"/>
              </w:rPr>
            </w:pPr>
            <w:r w:rsidRPr="00877B95">
              <w:rPr>
                <w:spacing w:val="-2"/>
                <w:sz w:val="19"/>
              </w:rPr>
              <w:t>Zaļā</w:t>
            </w:r>
            <w:r w:rsidR="003859BE" w:rsidRPr="00877B95">
              <w:rPr>
                <w:spacing w:val="-2"/>
                <w:sz w:val="19"/>
              </w:rPr>
              <w:t>s</w:t>
            </w:r>
            <w:r w:rsidRPr="00877B95">
              <w:rPr>
                <w:spacing w:val="-2"/>
                <w:sz w:val="19"/>
              </w:rPr>
              <w:t xml:space="preserve"> </w:t>
            </w:r>
            <w:r w:rsidR="00F07186" w:rsidRPr="00877B95">
              <w:rPr>
                <w:spacing w:val="-2"/>
                <w:sz w:val="19"/>
              </w:rPr>
              <w:t>A</w:t>
            </w:r>
            <w:r w:rsidRPr="00877B95">
              <w:rPr>
                <w:spacing w:val="-2"/>
                <w:sz w:val="19"/>
              </w:rPr>
              <w:t>tslēga</w:t>
            </w:r>
            <w:r w:rsidR="003859BE" w:rsidRPr="00877B95">
              <w:rPr>
                <w:spacing w:val="-2"/>
                <w:sz w:val="19"/>
              </w:rPr>
              <w:t>s</w:t>
            </w:r>
            <w:r w:rsidRPr="00877B95">
              <w:rPr>
                <w:spacing w:val="-2"/>
                <w:sz w:val="19"/>
              </w:rPr>
              <w:t xml:space="preserve"> sertifikācija parasti neattiecas uz brīvdienu māju tipa īpašumiem, </w:t>
            </w:r>
            <w:r w:rsidR="00F07186" w:rsidRPr="00877B95">
              <w:rPr>
                <w:spacing w:val="-2"/>
                <w:sz w:val="19"/>
              </w:rPr>
              <w:t>kopmītnēm</w:t>
            </w:r>
            <w:r w:rsidRPr="00877B95">
              <w:rPr>
                <w:spacing w:val="-2"/>
                <w:sz w:val="19"/>
              </w:rPr>
              <w:t xml:space="preserve">, pastāvīgām dzīvesvietām, </w:t>
            </w:r>
            <w:r w:rsidRPr="00877B95">
              <w:rPr>
                <w:sz w:val="19"/>
              </w:rPr>
              <w:t>atsevišķām kopdzīves telpām vai ilgtermiņa nomas dzīvokļiem. Tomēr jauktas izmantošanas ēkās vai viesnīcu-dzīvojamo ēku hibrīdos tiek piemēroti šādi nosacījumi:</w:t>
            </w:r>
          </w:p>
          <w:p w14:paraId="3FC61CC7" w14:textId="77777777" w:rsidR="00775B7F" w:rsidRPr="00877B95" w:rsidRDefault="009D48F4" w:rsidP="00480805">
            <w:pPr>
              <w:pStyle w:val="TableParagraph"/>
              <w:numPr>
                <w:ilvl w:val="0"/>
                <w:numId w:val="7"/>
              </w:numPr>
              <w:tabs>
                <w:tab w:val="left" w:pos="829"/>
              </w:tabs>
              <w:spacing w:before="4" w:line="243" w:lineRule="exact"/>
              <w:jc w:val="both"/>
              <w:rPr>
                <w:sz w:val="20"/>
              </w:rPr>
            </w:pPr>
            <w:r w:rsidRPr="00877B95">
              <w:rPr>
                <w:sz w:val="19"/>
              </w:rPr>
              <w:t xml:space="preserve">Gan īstermiņa, gan ilgtermiņa īre (istabas vai dzīvokļi) var tikt iekļauti tikai </w:t>
            </w:r>
            <w:r w:rsidRPr="00877B95">
              <w:rPr>
                <w:spacing w:val="-5"/>
                <w:sz w:val="19"/>
              </w:rPr>
              <w:t>tad</w:t>
            </w:r>
            <w:r w:rsidRPr="00877B95">
              <w:rPr>
                <w:sz w:val="19"/>
              </w:rPr>
              <w:t>,</w:t>
            </w:r>
            <w:r w:rsidRPr="00877B95">
              <w:rPr>
                <w:spacing w:val="-5"/>
                <w:sz w:val="19"/>
              </w:rPr>
              <w:t xml:space="preserve"> ja:</w:t>
            </w:r>
          </w:p>
          <w:p w14:paraId="6A3C9485" w14:textId="1F4EE85B" w:rsidR="00480805" w:rsidRPr="00877B95" w:rsidRDefault="00480805" w:rsidP="00480805">
            <w:pPr>
              <w:pStyle w:val="TableParagraph"/>
              <w:numPr>
                <w:ilvl w:val="1"/>
                <w:numId w:val="7"/>
              </w:numPr>
              <w:tabs>
                <w:tab w:val="left" w:pos="1551"/>
              </w:tabs>
              <w:spacing w:before="5" w:line="232" w:lineRule="auto"/>
              <w:ind w:right="96"/>
              <w:jc w:val="both"/>
              <w:rPr>
                <w:sz w:val="20"/>
              </w:rPr>
            </w:pPr>
            <w:r w:rsidRPr="00877B95">
              <w:rPr>
                <w:sz w:val="19"/>
              </w:rPr>
              <w:t>ir nodrošināta regulāra piekļuve izīrētajai vienībai viesu uzturēšanās laikā (piemēram, tīrīšanai vai apkopšanai); un</w:t>
            </w:r>
          </w:p>
          <w:p w14:paraId="311AA209" w14:textId="77777777" w:rsidR="00480805" w:rsidRPr="00877B95" w:rsidRDefault="00480805" w:rsidP="00480805">
            <w:pPr>
              <w:pStyle w:val="TableParagraph"/>
              <w:numPr>
                <w:ilvl w:val="1"/>
                <w:numId w:val="7"/>
              </w:numPr>
              <w:tabs>
                <w:tab w:val="left" w:pos="1551"/>
              </w:tabs>
              <w:spacing w:before="16" w:line="232" w:lineRule="auto"/>
              <w:ind w:right="105"/>
              <w:jc w:val="both"/>
              <w:rPr>
                <w:sz w:val="20"/>
              </w:rPr>
            </w:pPr>
            <w:r w:rsidRPr="00877B95">
              <w:rPr>
                <w:sz w:val="19"/>
              </w:rPr>
              <w:t>tiek garantēts, ka standarta viesmīlības pakalpojumi tiek sniegti nepārtraukti, neatkarīgi no īres ilguma.</w:t>
            </w:r>
          </w:p>
          <w:p w14:paraId="1E538320" w14:textId="77777777" w:rsidR="00480805" w:rsidRPr="00877B95" w:rsidRDefault="00480805" w:rsidP="00480805">
            <w:pPr>
              <w:pStyle w:val="TableParagraph"/>
              <w:numPr>
                <w:ilvl w:val="0"/>
                <w:numId w:val="7"/>
              </w:numPr>
              <w:tabs>
                <w:tab w:val="left" w:pos="830"/>
              </w:tabs>
              <w:spacing w:before="13" w:line="244" w:lineRule="auto"/>
              <w:ind w:right="96"/>
              <w:jc w:val="both"/>
              <w:rPr>
                <w:sz w:val="20"/>
              </w:rPr>
            </w:pPr>
            <w:r w:rsidRPr="00877B95">
              <w:rPr>
                <w:sz w:val="19"/>
              </w:rPr>
              <w:t>Ja uzņēmuma pārstāvis nevar iekļūt vienībā jebkurā brīdī viesu uzturēšanās laikā (vismaz reizi 3 nedēļās dzīvokļu tipa iestādēs) vai ja vienība tiek izmantota kā privāta dzīvesvieta bez viesmīlības pakalpojumiem, tā nav iekļaujama Zaļās Atslēgas sertifikācijas darbības tvērumā.</w:t>
            </w:r>
          </w:p>
          <w:p w14:paraId="12BA1D12" w14:textId="5CF1388C" w:rsidR="00775B7F" w:rsidRPr="00877B95" w:rsidRDefault="00775B7F" w:rsidP="00480805">
            <w:pPr>
              <w:pStyle w:val="TableParagraph"/>
              <w:tabs>
                <w:tab w:val="left" w:pos="830"/>
              </w:tabs>
              <w:spacing w:before="11" w:line="244" w:lineRule="auto"/>
              <w:ind w:left="0" w:right="96"/>
              <w:jc w:val="both"/>
              <w:rPr>
                <w:sz w:val="20"/>
              </w:rPr>
            </w:pPr>
          </w:p>
          <w:p w14:paraId="08F9FDC8" w14:textId="77777777" w:rsidR="00775B7F" w:rsidRPr="00877B95" w:rsidRDefault="00775B7F">
            <w:pPr>
              <w:pStyle w:val="TableParagraph"/>
              <w:spacing w:before="14"/>
              <w:ind w:left="0"/>
              <w:rPr>
                <w:sz w:val="20"/>
              </w:rPr>
            </w:pPr>
          </w:p>
          <w:p w14:paraId="798984A5" w14:textId="77777777" w:rsidR="00775B7F" w:rsidRPr="00877B95" w:rsidRDefault="009D48F4">
            <w:pPr>
              <w:pStyle w:val="TableParagraph"/>
              <w:spacing w:before="1"/>
              <w:rPr>
                <w:b/>
                <w:sz w:val="20"/>
              </w:rPr>
            </w:pPr>
            <w:r w:rsidRPr="00877B95">
              <w:rPr>
                <w:b/>
                <w:spacing w:val="-2"/>
                <w:sz w:val="19"/>
              </w:rPr>
              <w:t>Atbilstība:</w:t>
            </w:r>
          </w:p>
          <w:p w14:paraId="2BB2A77A" w14:textId="18FC11C8" w:rsidR="00775B7F" w:rsidRPr="00877B95" w:rsidRDefault="009D48F4">
            <w:pPr>
              <w:pStyle w:val="TableParagraph"/>
              <w:spacing w:before="10" w:line="249" w:lineRule="auto"/>
              <w:rPr>
                <w:sz w:val="20"/>
              </w:rPr>
            </w:pPr>
            <w:r w:rsidRPr="00877B95">
              <w:rPr>
                <w:sz w:val="19"/>
              </w:rPr>
              <w:t xml:space="preserve">Lai atbilstu </w:t>
            </w:r>
            <w:r w:rsidR="00480805" w:rsidRPr="00877B95">
              <w:rPr>
                <w:sz w:val="19"/>
              </w:rPr>
              <w:t>Zaļās Atslēgas mazo tūrisma mītņu kategorijas</w:t>
            </w:r>
            <w:r w:rsidRPr="00877B95">
              <w:rPr>
                <w:sz w:val="19"/>
              </w:rPr>
              <w:t xml:space="preserve"> kritērijiem, pieteikuma iesniedzēja galvenajai darbībai jābūt </w:t>
            </w:r>
            <w:r w:rsidR="00480805" w:rsidRPr="00877B95">
              <w:rPr>
                <w:sz w:val="19"/>
              </w:rPr>
              <w:t xml:space="preserve">viesmīlības pakalpujumu sniegšanai </w:t>
            </w:r>
            <w:r w:rsidRPr="00877B95">
              <w:rPr>
                <w:sz w:val="19"/>
              </w:rPr>
              <w:t>maza izmēra naktsmītn</w:t>
            </w:r>
            <w:r w:rsidR="00480805" w:rsidRPr="00877B95">
              <w:rPr>
                <w:sz w:val="19"/>
              </w:rPr>
              <w:t>ē</w:t>
            </w:r>
            <w:r w:rsidRPr="00877B95">
              <w:rPr>
                <w:sz w:val="19"/>
              </w:rPr>
              <w:t xml:space="preserve">. </w:t>
            </w:r>
            <w:r w:rsidR="00480805" w:rsidRPr="00877B95">
              <w:rPr>
                <w:sz w:val="19"/>
              </w:rPr>
              <w:t>To var apstiprināt, ja ir izpildīts vismaz viens no šādiem nosacījumiem:</w:t>
            </w:r>
          </w:p>
          <w:p w14:paraId="7FCFBE9F" w14:textId="073C3563" w:rsidR="00775B7F" w:rsidRPr="00877B95" w:rsidRDefault="009D48F4" w:rsidP="00480805">
            <w:pPr>
              <w:pStyle w:val="TableParagraph"/>
              <w:numPr>
                <w:ilvl w:val="0"/>
                <w:numId w:val="7"/>
              </w:numPr>
              <w:tabs>
                <w:tab w:val="left" w:pos="828"/>
                <w:tab w:val="left" w:pos="830"/>
              </w:tabs>
              <w:spacing w:before="1" w:line="249" w:lineRule="auto"/>
              <w:ind w:right="97"/>
              <w:jc w:val="both"/>
              <w:rPr>
                <w:sz w:val="20"/>
              </w:rPr>
            </w:pPr>
            <w:r w:rsidRPr="00877B95">
              <w:rPr>
                <w:sz w:val="19"/>
              </w:rPr>
              <w:t xml:space="preserve">Iestāde ir oficiāli reģistrēta kā mazā viesnīca/hostelis, viesu nams, naktsmītne ar brokastīm, ekoloģiska naktsmītne, ekoloģiska lauku saimniecība vai tamlīdzīga iestāde, un šī funkcija ir oficiāli reģistrēta kā tās galvenā darbība </w:t>
            </w:r>
            <w:r w:rsidR="00480805" w:rsidRPr="00877B95">
              <w:rPr>
                <w:sz w:val="19"/>
              </w:rPr>
              <w:t>atbilstoši</w:t>
            </w:r>
            <w:r w:rsidRPr="00877B95">
              <w:rPr>
                <w:sz w:val="19"/>
              </w:rPr>
              <w:t xml:space="preserve"> ar valsts tiesību aktiem.</w:t>
            </w:r>
          </w:p>
          <w:p w14:paraId="5FD0C8A7" w14:textId="77777777" w:rsidR="00775B7F" w:rsidRPr="00877B95" w:rsidRDefault="009D48F4" w:rsidP="00480805">
            <w:pPr>
              <w:pStyle w:val="TableParagraph"/>
              <w:numPr>
                <w:ilvl w:val="0"/>
                <w:numId w:val="7"/>
              </w:numPr>
              <w:tabs>
                <w:tab w:val="left" w:pos="828"/>
              </w:tabs>
              <w:spacing w:before="3"/>
              <w:jc w:val="both"/>
              <w:rPr>
                <w:sz w:val="20"/>
              </w:rPr>
            </w:pPr>
            <w:r w:rsidRPr="00877B95">
              <w:rPr>
                <w:sz w:val="19"/>
              </w:rPr>
              <w:t xml:space="preserve">Iestādes galvenā darbība ir viesmīlības un naktsmītņu </w:t>
            </w:r>
            <w:r w:rsidRPr="00877B95">
              <w:rPr>
                <w:spacing w:val="-2"/>
                <w:sz w:val="19"/>
              </w:rPr>
              <w:t xml:space="preserve">pakalpojumu </w:t>
            </w:r>
            <w:r w:rsidRPr="00877B95">
              <w:rPr>
                <w:sz w:val="19"/>
              </w:rPr>
              <w:t>sniegšana.</w:t>
            </w:r>
          </w:p>
          <w:p w14:paraId="67AEA846" w14:textId="2DD81028" w:rsidR="00775B7F" w:rsidRPr="00877B95" w:rsidRDefault="009D48F4" w:rsidP="00480805">
            <w:pPr>
              <w:pStyle w:val="TableParagraph"/>
              <w:numPr>
                <w:ilvl w:val="0"/>
                <w:numId w:val="7"/>
              </w:numPr>
              <w:tabs>
                <w:tab w:val="left" w:pos="828"/>
                <w:tab w:val="left" w:pos="830"/>
              </w:tabs>
              <w:spacing w:line="240" w:lineRule="atLeast"/>
              <w:ind w:right="93"/>
              <w:jc w:val="both"/>
              <w:rPr>
                <w:sz w:val="20"/>
              </w:rPr>
            </w:pPr>
            <w:r w:rsidRPr="00877B95">
              <w:rPr>
                <w:sz w:val="19"/>
              </w:rPr>
              <w:t xml:space="preserve">Iestādes </w:t>
            </w:r>
            <w:r w:rsidR="00480805" w:rsidRPr="00877B95">
              <w:rPr>
                <w:sz w:val="19"/>
              </w:rPr>
              <w:t>mārketinga aktivitātes un komunikācija ar klientiem, kā arī sākotnējā pārbaudē sniegtā informācija apstiprina, ka galvenā darbība ir mazās tūrisma mītnespakalpojumu sniegšanas</w:t>
            </w:r>
            <w:r w:rsidRPr="00877B95">
              <w:rPr>
                <w:sz w:val="19"/>
              </w:rPr>
              <w:t>.</w:t>
            </w:r>
          </w:p>
        </w:tc>
      </w:tr>
      <w:tr w:rsidR="00775B7F" w:rsidRPr="00877B95" w14:paraId="1C57E578" w14:textId="77777777">
        <w:trPr>
          <w:trHeight w:val="2402"/>
        </w:trPr>
        <w:tc>
          <w:tcPr>
            <w:tcW w:w="3060" w:type="dxa"/>
          </w:tcPr>
          <w:p w14:paraId="20431696" w14:textId="77777777" w:rsidR="00775B7F" w:rsidRPr="00877B95" w:rsidRDefault="009D48F4">
            <w:pPr>
              <w:pStyle w:val="TableParagraph"/>
              <w:spacing w:before="252"/>
              <w:rPr>
                <w:b/>
              </w:rPr>
            </w:pPr>
            <w:r w:rsidRPr="00877B95">
              <w:rPr>
                <w:b/>
                <w:w w:val="90"/>
                <w:sz w:val="21"/>
              </w:rPr>
              <w:t xml:space="preserve">Konferenču centri </w:t>
            </w:r>
            <w:r w:rsidRPr="00877B95">
              <w:rPr>
                <w:b/>
                <w:spacing w:val="-4"/>
                <w:w w:val="90"/>
                <w:sz w:val="21"/>
              </w:rPr>
              <w:t>(CC)</w:t>
            </w:r>
          </w:p>
        </w:tc>
        <w:tc>
          <w:tcPr>
            <w:tcW w:w="10936" w:type="dxa"/>
          </w:tcPr>
          <w:p w14:paraId="48C64C1D" w14:textId="77777777" w:rsidR="00775B7F" w:rsidRPr="00877B95" w:rsidRDefault="00775B7F">
            <w:pPr>
              <w:pStyle w:val="TableParagraph"/>
              <w:spacing w:before="21"/>
              <w:ind w:left="0"/>
              <w:rPr>
                <w:sz w:val="20"/>
              </w:rPr>
            </w:pPr>
          </w:p>
          <w:p w14:paraId="7A62C348" w14:textId="63692198" w:rsidR="00775B7F" w:rsidRPr="00877B95" w:rsidRDefault="009D48F4">
            <w:pPr>
              <w:pStyle w:val="TableParagraph"/>
              <w:spacing w:line="249" w:lineRule="auto"/>
              <w:ind w:right="95"/>
              <w:jc w:val="both"/>
              <w:rPr>
                <w:b/>
                <w:sz w:val="20"/>
              </w:rPr>
            </w:pPr>
            <w:r w:rsidRPr="00877B95">
              <w:rPr>
                <w:b/>
                <w:sz w:val="19"/>
              </w:rPr>
              <w:t xml:space="preserve">Zaļās </w:t>
            </w:r>
            <w:r w:rsidR="00F07186" w:rsidRPr="00877B95">
              <w:rPr>
                <w:b/>
                <w:sz w:val="19"/>
              </w:rPr>
              <w:t>A</w:t>
            </w:r>
            <w:r w:rsidRPr="00877B95">
              <w:rPr>
                <w:b/>
                <w:sz w:val="19"/>
              </w:rPr>
              <w:t xml:space="preserve">tslēgas konferenču centru </w:t>
            </w:r>
            <w:r w:rsidR="00480805" w:rsidRPr="00877B95">
              <w:rPr>
                <w:b/>
                <w:sz w:val="19"/>
              </w:rPr>
              <w:t xml:space="preserve">kategorijas </w:t>
            </w:r>
            <w:r w:rsidRPr="00877B95">
              <w:rPr>
                <w:b/>
                <w:sz w:val="19"/>
              </w:rPr>
              <w:t xml:space="preserve">kritēriji ir piemērojami pilnībā darbotiesspējīgiem konferenču centriem, kas atrodas vienā </w:t>
            </w:r>
            <w:r w:rsidRPr="00877B95">
              <w:rPr>
                <w:b/>
                <w:spacing w:val="-2"/>
                <w:sz w:val="19"/>
              </w:rPr>
              <w:t>pastāvīgā</w:t>
            </w:r>
            <w:r w:rsidRPr="00877B95">
              <w:rPr>
                <w:b/>
                <w:sz w:val="19"/>
              </w:rPr>
              <w:t xml:space="preserve"> </w:t>
            </w:r>
            <w:r w:rsidRPr="00877B95">
              <w:rPr>
                <w:b/>
                <w:spacing w:val="-2"/>
                <w:sz w:val="19"/>
              </w:rPr>
              <w:t>vietā vai atrodas citā Zaļās atslēgas kategorij</w:t>
            </w:r>
            <w:r w:rsidR="001A4A5D" w:rsidRPr="00877B95">
              <w:rPr>
                <w:b/>
                <w:spacing w:val="-2"/>
                <w:sz w:val="19"/>
              </w:rPr>
              <w:t>as uzņēmumā</w:t>
            </w:r>
            <w:r w:rsidRPr="00877B95">
              <w:rPr>
                <w:b/>
                <w:spacing w:val="-2"/>
                <w:sz w:val="19"/>
              </w:rPr>
              <w:t xml:space="preserve">, kas tiek pilnībā </w:t>
            </w:r>
            <w:r w:rsidR="001A4A5D" w:rsidRPr="00877B95">
              <w:rPr>
                <w:b/>
                <w:spacing w:val="-2"/>
                <w:sz w:val="19"/>
              </w:rPr>
              <w:t xml:space="preserve">ārēji </w:t>
            </w:r>
            <w:r w:rsidRPr="00877B95">
              <w:rPr>
                <w:b/>
                <w:spacing w:val="-2"/>
                <w:sz w:val="19"/>
              </w:rPr>
              <w:t>pārvaldīt</w:t>
            </w:r>
            <w:r w:rsidR="001A4A5D" w:rsidRPr="00877B95">
              <w:rPr>
                <w:b/>
                <w:spacing w:val="-2"/>
                <w:sz w:val="19"/>
              </w:rPr>
              <w:t>s</w:t>
            </w:r>
            <w:r w:rsidRPr="00877B95">
              <w:rPr>
                <w:b/>
                <w:spacing w:val="-2"/>
                <w:sz w:val="19"/>
              </w:rPr>
              <w:t xml:space="preserve"> un piedāvā regulārus </w:t>
            </w:r>
            <w:r w:rsidRPr="00877B95">
              <w:rPr>
                <w:b/>
                <w:spacing w:val="-4"/>
                <w:sz w:val="19"/>
              </w:rPr>
              <w:t xml:space="preserve">konferenču </w:t>
            </w:r>
            <w:r w:rsidR="001A4A5D" w:rsidRPr="00877B95">
              <w:rPr>
                <w:b/>
                <w:spacing w:val="-4"/>
                <w:sz w:val="19"/>
              </w:rPr>
              <w:t xml:space="preserve">tūrisma </w:t>
            </w:r>
            <w:r w:rsidRPr="00877B95">
              <w:rPr>
                <w:b/>
                <w:spacing w:val="-4"/>
                <w:sz w:val="19"/>
              </w:rPr>
              <w:t>pakalpojumus. Iestādes, kurās notiek liela apjoma būvniecības/renovācijas darbi</w:t>
            </w:r>
            <w:hyperlink w:anchor="_bookmark3" w:history="1">
              <w:r w:rsidRPr="00877B95">
                <w:rPr>
                  <w:b/>
                  <w:spacing w:val="-4"/>
                  <w:position w:val="7"/>
                  <w:sz w:val="12"/>
                </w:rPr>
                <w:t>(4) ,</w:t>
              </w:r>
            </w:hyperlink>
            <w:r w:rsidRPr="00877B95">
              <w:rPr>
                <w:b/>
                <w:spacing w:val="-4"/>
                <w:sz w:val="19"/>
              </w:rPr>
              <w:t xml:space="preserve">sertifikātu var saņemt tikai </w:t>
            </w:r>
            <w:r w:rsidRPr="00877B95">
              <w:rPr>
                <w:b/>
                <w:w w:val="90"/>
                <w:sz w:val="19"/>
              </w:rPr>
              <w:t xml:space="preserve">pēc darbu pabeigšanas. Lai gan iestādes, kas piedāvā pagaidu/neregulārus pakalpojumus, neietilpst šīs kategorijas darbības jomā, sezonas iestādes var būt tiesīgas saņemt sertifikātu, ja tās ir pilnībā darbotiesspējīgas audita laikā. Konferenču </w:t>
            </w:r>
            <w:r w:rsidRPr="00877B95">
              <w:rPr>
                <w:b/>
                <w:spacing w:val="-4"/>
                <w:sz w:val="19"/>
              </w:rPr>
              <w:t>centr</w:t>
            </w:r>
            <w:r w:rsidR="001A4A5D" w:rsidRPr="00877B95">
              <w:rPr>
                <w:b/>
                <w:spacing w:val="-4"/>
                <w:sz w:val="19"/>
              </w:rPr>
              <w:t>am</w:t>
            </w:r>
            <w:r w:rsidRPr="00877B95">
              <w:rPr>
                <w:b/>
                <w:spacing w:val="-4"/>
                <w:sz w:val="19"/>
              </w:rPr>
              <w:t xml:space="preserve"> </w:t>
            </w:r>
            <w:r w:rsidR="001A4A5D" w:rsidRPr="00877B95">
              <w:rPr>
                <w:b/>
                <w:spacing w:val="-4"/>
                <w:sz w:val="19"/>
              </w:rPr>
              <w:t>jā</w:t>
            </w:r>
            <w:r w:rsidRPr="00877B95">
              <w:rPr>
                <w:b/>
                <w:spacing w:val="-4"/>
                <w:sz w:val="19"/>
              </w:rPr>
              <w:t xml:space="preserve">atrodas vienā pastāvīgā vietā, </w:t>
            </w:r>
            <w:r w:rsidR="001A4A5D" w:rsidRPr="00877B95">
              <w:rPr>
                <w:b/>
                <w:spacing w:val="-4"/>
                <w:sz w:val="19"/>
              </w:rPr>
              <w:t xml:space="preserve">tas </w:t>
            </w:r>
            <w:r w:rsidRPr="00877B95">
              <w:rPr>
                <w:b/>
                <w:spacing w:val="-4"/>
                <w:sz w:val="19"/>
              </w:rPr>
              <w:t xml:space="preserve">var būt aprīkots ar </w:t>
            </w:r>
            <w:r w:rsidR="001A4A5D" w:rsidRPr="00877B95">
              <w:rPr>
                <w:b/>
                <w:spacing w:val="-4"/>
                <w:sz w:val="19"/>
              </w:rPr>
              <w:t xml:space="preserve">atsevišķām </w:t>
            </w:r>
            <w:r w:rsidRPr="00877B95">
              <w:rPr>
                <w:b/>
                <w:spacing w:val="-4"/>
                <w:sz w:val="19"/>
              </w:rPr>
              <w:t xml:space="preserve">auditorijām, lekciju zālēm un/vai sanāksmju/konferenču telpām un </w:t>
            </w:r>
            <w:r w:rsidRPr="00877B95">
              <w:rPr>
                <w:b/>
                <w:spacing w:val="-2"/>
                <w:sz w:val="19"/>
              </w:rPr>
              <w:t>piedāvā savus pakalpojumus plašai sabiedrībai.</w:t>
            </w:r>
          </w:p>
          <w:p w14:paraId="39EA9DB0" w14:textId="77777777" w:rsidR="00775B7F" w:rsidRPr="00877B95" w:rsidRDefault="00775B7F">
            <w:pPr>
              <w:pStyle w:val="TableParagraph"/>
              <w:spacing w:before="12"/>
              <w:ind w:left="0"/>
              <w:rPr>
                <w:sz w:val="20"/>
              </w:rPr>
            </w:pPr>
          </w:p>
          <w:p w14:paraId="78B03E6D" w14:textId="77777777" w:rsidR="00775B7F" w:rsidRPr="00877B95" w:rsidRDefault="009D48F4">
            <w:pPr>
              <w:pStyle w:val="TableParagraph"/>
              <w:spacing w:line="211" w:lineRule="exact"/>
              <w:rPr>
                <w:b/>
                <w:sz w:val="20"/>
              </w:rPr>
            </w:pPr>
            <w:r w:rsidRPr="00877B95">
              <w:rPr>
                <w:b/>
                <w:spacing w:val="-2"/>
                <w:sz w:val="19"/>
              </w:rPr>
              <w:t>Atbilstība:</w:t>
            </w:r>
          </w:p>
        </w:tc>
      </w:tr>
    </w:tbl>
    <w:p w14:paraId="730AE875" w14:textId="77777777" w:rsidR="00775B7F" w:rsidRPr="00877B95" w:rsidRDefault="009D48F4">
      <w:pPr>
        <w:pStyle w:val="BodyText"/>
        <w:spacing w:before="2"/>
        <w:rPr>
          <w:sz w:val="18"/>
        </w:rPr>
      </w:pPr>
      <w:r w:rsidRPr="00877B95">
        <w:rPr>
          <w:noProof/>
          <w:sz w:val="18"/>
        </w:rPr>
        <mc:AlternateContent>
          <mc:Choice Requires="wps">
            <w:drawing>
              <wp:anchor distT="0" distB="0" distL="0" distR="0" simplePos="0" relativeHeight="251663360" behindDoc="1" locked="0" layoutInCell="1" allowOverlap="1" wp14:anchorId="1F2D8D8B" wp14:editId="319BC039">
                <wp:simplePos x="0" y="0"/>
                <wp:positionH relativeFrom="page">
                  <wp:posOffset>899160</wp:posOffset>
                </wp:positionH>
                <wp:positionV relativeFrom="paragraph">
                  <wp:posOffset>148161</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B63613C" id="Graphic 5" o:spid="_x0000_s1026" style="position:absolute;margin-left:70.8pt;margin-top:11.65pt;width:144.0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" path="m1829053,l,,,7620r1829053,l1829053,xe" fillcolor="black" stroked="f">
                <v:path arrowok="t"/>
                <w10:wrap type="topAndBottom" anchorx="page"/>
              </v:shape>
            </w:pict>
          </mc:Fallback>
        </mc:AlternateContent>
      </w:r>
    </w:p>
    <w:p w14:paraId="0484D5BB" w14:textId="77777777" w:rsidR="00775B7F" w:rsidRPr="00877B95" w:rsidRDefault="009D48F4">
      <w:pPr>
        <w:spacing w:before="96"/>
        <w:ind w:left="140"/>
        <w:rPr>
          <w:sz w:val="16"/>
        </w:rPr>
      </w:pPr>
      <w:bookmarkStart w:id="3" w:name="_bookmark3"/>
      <w:bookmarkEnd w:id="3"/>
      <w:r w:rsidRPr="00877B95">
        <w:rPr>
          <w:rFonts w:ascii="Times New Roman"/>
          <w:spacing w:val="-4"/>
          <w:position w:val="7"/>
          <w:sz w:val="12"/>
        </w:rPr>
        <w:t>4</w:t>
      </w:r>
      <w:r w:rsidRPr="00877B95">
        <w:rPr>
          <w:spacing w:val="-4"/>
          <w:sz w:val="15"/>
        </w:rPr>
        <w:t xml:space="preserve">  Skatīt glosāriju</w:t>
      </w:r>
      <w:r w:rsidRPr="00877B95">
        <w:rPr>
          <w:spacing w:val="-7"/>
          <w:sz w:val="15"/>
        </w:rPr>
        <w:t xml:space="preserve"> 1.</w:t>
      </w:r>
      <w:r w:rsidRPr="00877B95">
        <w:rPr>
          <w:spacing w:val="-4"/>
          <w:sz w:val="15"/>
        </w:rPr>
        <w:t xml:space="preserve"> lpp.</w:t>
      </w:r>
    </w:p>
    <w:p w14:paraId="770818C2" w14:textId="77777777" w:rsidR="00775B7F" w:rsidRPr="00877B95" w:rsidRDefault="00775B7F">
      <w:pPr>
        <w:rPr>
          <w:sz w:val="16"/>
        </w:rPr>
        <w:sectPr w:rsidR="00775B7F" w:rsidRPr="00877B95">
          <w:pgSz w:w="16840" w:h="11910" w:orient="landscape"/>
          <w:pgMar w:top="1340" w:right="1275" w:bottom="1180" w:left="1275" w:header="0" w:footer="986" w:gutter="0"/>
          <w:cols w:space="708"/>
        </w:sectPr>
      </w:pPr>
    </w:p>
    <w:p w14:paraId="0CAAC2AA" w14:textId="77777777" w:rsidR="00775B7F" w:rsidRPr="00877B95" w:rsidRDefault="00775B7F">
      <w:pPr>
        <w:pStyle w:val="BodyText"/>
        <w:spacing w:before="1"/>
        <w:rPr>
          <w:sz w:val="6"/>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10936"/>
      </w:tblGrid>
      <w:tr w:rsidR="00775B7F" w:rsidRPr="00877B95" w14:paraId="2FE7E2B6" w14:textId="77777777">
        <w:trPr>
          <w:trHeight w:val="1681"/>
        </w:trPr>
        <w:tc>
          <w:tcPr>
            <w:tcW w:w="3060" w:type="dxa"/>
          </w:tcPr>
          <w:p w14:paraId="0DFAB4B9" w14:textId="77777777" w:rsidR="00775B7F" w:rsidRPr="00877B95" w:rsidRDefault="00775B7F">
            <w:pPr>
              <w:pStyle w:val="TableParagraph"/>
              <w:ind w:left="0"/>
              <w:rPr>
                <w:rFonts w:ascii="Times New Roman"/>
                <w:sz w:val="18"/>
              </w:rPr>
            </w:pPr>
          </w:p>
        </w:tc>
        <w:tc>
          <w:tcPr>
            <w:tcW w:w="10936" w:type="dxa"/>
          </w:tcPr>
          <w:p w14:paraId="65F3E330" w14:textId="1BD688F3" w:rsidR="00775B7F" w:rsidRPr="00877B95" w:rsidRDefault="009D48F4" w:rsidP="00FC3C2D">
            <w:pPr>
              <w:pStyle w:val="TableParagraph"/>
              <w:spacing w:before="10" w:line="249" w:lineRule="auto"/>
              <w:rPr>
                <w:sz w:val="20"/>
              </w:rPr>
            </w:pPr>
            <w:r w:rsidRPr="00877B95">
              <w:rPr>
                <w:sz w:val="19"/>
              </w:rPr>
              <w:t xml:space="preserve">Lai atbilstu Zaļās atslēgas konferenču centra kritērijiem, pieteikuma iesniedzēja iestādes galvenā darbības joma ir konferenču centra darbība. </w:t>
            </w:r>
            <w:r w:rsidR="00FC3C2D" w:rsidRPr="00877B95">
              <w:rPr>
                <w:sz w:val="19"/>
              </w:rPr>
              <w:t>To var apstiprināt, ja ir izpildīts vismaz viens no šādiem nosacījumiem:</w:t>
            </w:r>
          </w:p>
          <w:p w14:paraId="585F9B4D" w14:textId="77777777" w:rsidR="00775B7F" w:rsidRPr="00877B95" w:rsidRDefault="009D48F4">
            <w:pPr>
              <w:pStyle w:val="TableParagraph"/>
              <w:numPr>
                <w:ilvl w:val="0"/>
                <w:numId w:val="5"/>
              </w:numPr>
              <w:tabs>
                <w:tab w:val="left" w:pos="828"/>
                <w:tab w:val="left" w:pos="830"/>
              </w:tabs>
              <w:spacing w:before="2" w:line="249" w:lineRule="auto"/>
              <w:ind w:right="98"/>
              <w:rPr>
                <w:sz w:val="20"/>
              </w:rPr>
            </w:pPr>
            <w:r w:rsidRPr="00877B95">
              <w:rPr>
                <w:sz w:val="19"/>
              </w:rPr>
              <w:t>Iestāde ir oficiāli reģistrēta kā konferenču centrs, un šī funkcija ir oficiāli reģistrēta kā tās galvenā darbība saskaņā ar valsts tiesību aktiem.</w:t>
            </w:r>
          </w:p>
          <w:p w14:paraId="66D5C445" w14:textId="77777777" w:rsidR="00775B7F" w:rsidRPr="00877B95" w:rsidRDefault="009D48F4">
            <w:pPr>
              <w:pStyle w:val="TableParagraph"/>
              <w:numPr>
                <w:ilvl w:val="0"/>
                <w:numId w:val="5"/>
              </w:numPr>
              <w:tabs>
                <w:tab w:val="left" w:pos="828"/>
              </w:tabs>
              <w:spacing w:before="1"/>
              <w:ind w:left="828" w:hanging="358"/>
              <w:rPr>
                <w:sz w:val="20"/>
              </w:rPr>
            </w:pPr>
            <w:r w:rsidRPr="00877B95">
              <w:rPr>
                <w:sz w:val="19"/>
              </w:rPr>
              <w:t xml:space="preserve">Iestādes galvenā darbība ir konferenču </w:t>
            </w:r>
            <w:r w:rsidRPr="00877B95">
              <w:rPr>
                <w:spacing w:val="-2"/>
                <w:sz w:val="19"/>
              </w:rPr>
              <w:t xml:space="preserve">centra </w:t>
            </w:r>
            <w:r w:rsidRPr="00877B95">
              <w:rPr>
                <w:sz w:val="19"/>
              </w:rPr>
              <w:t>pakalpojumu sniegšana.</w:t>
            </w:r>
          </w:p>
          <w:p w14:paraId="31D7691A" w14:textId="5E4F934A" w:rsidR="00775B7F" w:rsidRPr="00877B95" w:rsidRDefault="001A4A5D">
            <w:pPr>
              <w:pStyle w:val="TableParagraph"/>
              <w:numPr>
                <w:ilvl w:val="0"/>
                <w:numId w:val="5"/>
              </w:numPr>
              <w:tabs>
                <w:tab w:val="left" w:pos="828"/>
                <w:tab w:val="left" w:pos="830"/>
              </w:tabs>
              <w:spacing w:line="240" w:lineRule="atLeast"/>
              <w:ind w:right="93"/>
              <w:rPr>
                <w:sz w:val="20"/>
              </w:rPr>
            </w:pPr>
            <w:r w:rsidRPr="00877B95">
              <w:rPr>
                <w:sz w:val="19"/>
              </w:rPr>
              <w:t>Iestādes mārketinga aktivitātes un komunikācija ar klientiem, kā arī sākotnējā pārbaudē sniegtā informācija apstiprina, ka galvenā darbība ir mazās konferenču centra pakalpojumu sniegšana.</w:t>
            </w:r>
          </w:p>
        </w:tc>
      </w:tr>
      <w:tr w:rsidR="00775B7F" w:rsidRPr="00877B95" w14:paraId="11D9548B" w14:textId="77777777">
        <w:trPr>
          <w:trHeight w:val="3840"/>
        </w:trPr>
        <w:tc>
          <w:tcPr>
            <w:tcW w:w="3060" w:type="dxa"/>
          </w:tcPr>
          <w:p w14:paraId="6DF138E8" w14:textId="77777777" w:rsidR="00775B7F" w:rsidRPr="00877B95" w:rsidRDefault="009D48F4">
            <w:pPr>
              <w:pStyle w:val="TableParagraph"/>
              <w:spacing w:before="249"/>
              <w:rPr>
                <w:b/>
              </w:rPr>
            </w:pPr>
            <w:r w:rsidRPr="00877B95">
              <w:rPr>
                <w:b/>
                <w:spacing w:val="2"/>
                <w:w w:val="90"/>
                <w:sz w:val="21"/>
              </w:rPr>
              <w:t xml:space="preserve">Restorāni/kafejnīcas </w:t>
            </w:r>
            <w:r w:rsidRPr="00877B95">
              <w:rPr>
                <w:b/>
                <w:spacing w:val="-5"/>
                <w:sz w:val="21"/>
              </w:rPr>
              <w:t>(R)</w:t>
            </w:r>
          </w:p>
        </w:tc>
        <w:tc>
          <w:tcPr>
            <w:tcW w:w="10936" w:type="dxa"/>
          </w:tcPr>
          <w:p w14:paraId="5A20FF7C" w14:textId="77777777" w:rsidR="00775B7F" w:rsidRPr="00877B95" w:rsidRDefault="00775B7F">
            <w:pPr>
              <w:pStyle w:val="TableParagraph"/>
              <w:spacing w:before="19"/>
              <w:ind w:left="0"/>
              <w:rPr>
                <w:sz w:val="20"/>
              </w:rPr>
            </w:pPr>
          </w:p>
          <w:p w14:paraId="3EF624C5" w14:textId="24BE6726" w:rsidR="00775B7F" w:rsidRPr="00877B95" w:rsidRDefault="009D48F4">
            <w:pPr>
              <w:pStyle w:val="TableParagraph"/>
              <w:spacing w:line="249" w:lineRule="auto"/>
              <w:ind w:right="91"/>
              <w:jc w:val="both"/>
              <w:rPr>
                <w:b/>
                <w:sz w:val="20"/>
              </w:rPr>
            </w:pPr>
            <w:r w:rsidRPr="00877B95">
              <w:rPr>
                <w:b/>
                <w:w w:val="90"/>
                <w:sz w:val="19"/>
              </w:rPr>
              <w:t xml:space="preserve">Zaļās </w:t>
            </w:r>
            <w:r w:rsidR="00F07186" w:rsidRPr="00877B95">
              <w:rPr>
                <w:b/>
                <w:w w:val="90"/>
                <w:sz w:val="19"/>
              </w:rPr>
              <w:t>A</w:t>
            </w:r>
            <w:r w:rsidRPr="00877B95">
              <w:rPr>
                <w:b/>
                <w:w w:val="90"/>
                <w:sz w:val="19"/>
              </w:rPr>
              <w:t>tslēgas restorānu/kafejnīcu</w:t>
            </w:r>
            <w:r w:rsidR="001A4A5D" w:rsidRPr="00877B95">
              <w:rPr>
                <w:b/>
                <w:w w:val="90"/>
                <w:sz w:val="19"/>
              </w:rPr>
              <w:t xml:space="preserve"> kategorijas</w:t>
            </w:r>
            <w:r w:rsidRPr="00877B95">
              <w:rPr>
                <w:b/>
                <w:w w:val="90"/>
                <w:sz w:val="19"/>
              </w:rPr>
              <w:t xml:space="preserve"> kritēriji attiecas uz pilnībā funkcionējošiem restorāniem un kafejnīcām, </w:t>
            </w:r>
            <w:r w:rsidRPr="00877B95">
              <w:rPr>
                <w:b/>
                <w:spacing w:val="-2"/>
                <w:sz w:val="19"/>
              </w:rPr>
              <w:t xml:space="preserve">kas atrodas </w:t>
            </w:r>
            <w:r w:rsidRPr="00877B95">
              <w:rPr>
                <w:b/>
                <w:w w:val="90"/>
                <w:sz w:val="19"/>
              </w:rPr>
              <w:t xml:space="preserve">atsevišķās vietās </w:t>
            </w:r>
            <w:r w:rsidRPr="00877B95">
              <w:rPr>
                <w:b/>
                <w:spacing w:val="-2"/>
                <w:sz w:val="19"/>
              </w:rPr>
              <w:t>vai citā Zaļās atslēgas kategorij</w:t>
            </w:r>
            <w:r w:rsidR="00FC3C2D" w:rsidRPr="00877B95">
              <w:rPr>
                <w:b/>
                <w:spacing w:val="-2"/>
                <w:sz w:val="19"/>
              </w:rPr>
              <w:t>as uzņēmumā</w:t>
            </w:r>
            <w:r w:rsidRPr="00877B95">
              <w:rPr>
                <w:b/>
                <w:spacing w:val="-2"/>
                <w:sz w:val="19"/>
              </w:rPr>
              <w:t xml:space="preserve">, bet tiek pilnībā </w:t>
            </w:r>
            <w:r w:rsidR="00FC3C2D" w:rsidRPr="00877B95">
              <w:rPr>
                <w:b/>
                <w:spacing w:val="-2"/>
                <w:sz w:val="19"/>
              </w:rPr>
              <w:t>ārēji</w:t>
            </w:r>
            <w:r w:rsidRPr="00877B95">
              <w:rPr>
                <w:b/>
                <w:spacing w:val="-2"/>
                <w:sz w:val="19"/>
              </w:rPr>
              <w:t xml:space="preserve">pārvaldīti un piedāvā regulārus </w:t>
            </w:r>
            <w:r w:rsidR="00FC3C2D" w:rsidRPr="00877B95">
              <w:rPr>
                <w:b/>
                <w:spacing w:val="-2"/>
                <w:sz w:val="19"/>
              </w:rPr>
              <w:t>sabiedriskās ēdināšanas</w:t>
            </w:r>
            <w:r w:rsidRPr="00877B95">
              <w:rPr>
                <w:b/>
                <w:spacing w:val="-2"/>
                <w:sz w:val="19"/>
              </w:rPr>
              <w:t xml:space="preserve"> pakalpojumus. </w:t>
            </w:r>
            <w:r w:rsidRPr="00877B95">
              <w:rPr>
                <w:b/>
                <w:w w:val="90"/>
                <w:sz w:val="19"/>
              </w:rPr>
              <w:t>Iestādes, kurās notiek liela apjoma būvniecības/renovācijas darbi</w:t>
            </w:r>
            <w:hyperlink w:anchor="_bookmark4" w:history="1">
              <w:r w:rsidRPr="00877B95">
                <w:rPr>
                  <w:b/>
                  <w:w w:val="90"/>
                  <w:position w:val="7"/>
                  <w:sz w:val="12"/>
                </w:rPr>
                <w:t>(5) ,</w:t>
              </w:r>
            </w:hyperlink>
            <w:r w:rsidRPr="00877B95">
              <w:rPr>
                <w:b/>
                <w:w w:val="90"/>
                <w:sz w:val="19"/>
              </w:rPr>
              <w:t xml:space="preserve">sertifikātu var saņemt tikai pēc darbu pabeigšanas. </w:t>
            </w:r>
            <w:r w:rsidRPr="00877B95">
              <w:rPr>
                <w:b/>
                <w:spacing w:val="-2"/>
                <w:sz w:val="19"/>
              </w:rPr>
              <w:t xml:space="preserve">Lai gan iestādes, kas piedāvā pagaidu/neregulārus pakalpojumus, neietilpst šīs kategorijas darbības jomā, sezonas </w:t>
            </w:r>
            <w:r w:rsidRPr="00877B95">
              <w:rPr>
                <w:b/>
                <w:spacing w:val="-6"/>
                <w:sz w:val="19"/>
              </w:rPr>
              <w:t>iestādes var būt tiesīgas saņemt sertifikātu, ja tās ir pilnībā darbspējīgas audita laikā. Restorāns/kafejnīca atrodas vienā pastāvīgā vietā, tajā ir vismaz 4 galdi vai 8 vietas viesiem, un pakalpojum</w:t>
            </w:r>
            <w:r w:rsidR="00FC3C2D" w:rsidRPr="00877B95">
              <w:rPr>
                <w:b/>
                <w:spacing w:val="-6"/>
                <w:sz w:val="19"/>
              </w:rPr>
              <w:t>i tiek piedāvāti</w:t>
            </w:r>
            <w:r w:rsidRPr="00877B95">
              <w:rPr>
                <w:b/>
                <w:spacing w:val="-6"/>
                <w:sz w:val="19"/>
              </w:rPr>
              <w:t xml:space="preserve"> </w:t>
            </w:r>
            <w:r w:rsidR="00FC3C2D" w:rsidRPr="00877B95">
              <w:rPr>
                <w:b/>
                <w:spacing w:val="-6"/>
                <w:sz w:val="19"/>
              </w:rPr>
              <w:t>publiski.</w:t>
            </w:r>
          </w:p>
          <w:p w14:paraId="03ED628D" w14:textId="77777777" w:rsidR="00775B7F" w:rsidRPr="00877B95" w:rsidRDefault="00775B7F">
            <w:pPr>
              <w:pStyle w:val="TableParagraph"/>
              <w:spacing w:before="11"/>
              <w:ind w:left="0"/>
              <w:rPr>
                <w:sz w:val="20"/>
              </w:rPr>
            </w:pPr>
          </w:p>
          <w:p w14:paraId="44EA6B8D" w14:textId="77777777" w:rsidR="00775B7F" w:rsidRPr="00877B95" w:rsidRDefault="009D48F4">
            <w:pPr>
              <w:pStyle w:val="TableParagraph"/>
              <w:rPr>
                <w:b/>
                <w:sz w:val="20"/>
              </w:rPr>
            </w:pPr>
            <w:r w:rsidRPr="00877B95">
              <w:rPr>
                <w:b/>
                <w:spacing w:val="-2"/>
                <w:sz w:val="19"/>
              </w:rPr>
              <w:t>Atbilstība:</w:t>
            </w:r>
          </w:p>
          <w:p w14:paraId="0E246614" w14:textId="619CA851" w:rsidR="00FC3C2D" w:rsidRPr="00877B95" w:rsidRDefault="009D48F4" w:rsidP="00FC3C2D">
            <w:pPr>
              <w:pStyle w:val="TableParagraph"/>
              <w:spacing w:before="10" w:line="249" w:lineRule="auto"/>
              <w:rPr>
                <w:sz w:val="20"/>
              </w:rPr>
            </w:pPr>
            <w:r w:rsidRPr="00877B95">
              <w:rPr>
                <w:w w:val="105"/>
                <w:sz w:val="19"/>
              </w:rPr>
              <w:t xml:space="preserve">Lai atbilstu </w:t>
            </w:r>
            <w:r w:rsidR="00FC3C2D" w:rsidRPr="00877B95">
              <w:rPr>
                <w:w w:val="105"/>
                <w:sz w:val="19"/>
              </w:rPr>
              <w:t>Zaļās Atslēgas</w:t>
            </w:r>
            <w:r w:rsidRPr="00877B95">
              <w:rPr>
                <w:w w:val="105"/>
                <w:sz w:val="19"/>
              </w:rPr>
              <w:t xml:space="preserve"> restorāna/kafejnīcas kritērijiem, pieteikuma iesniedzēja galvenajai darbībai jābūt </w:t>
            </w:r>
            <w:r w:rsidR="00FC3C2D" w:rsidRPr="00877B95">
              <w:rPr>
                <w:w w:val="105"/>
                <w:sz w:val="19"/>
              </w:rPr>
              <w:t>sabiedriskajai ēdināšanai vai restorāna/kafejnīcas pakalpojumiem</w:t>
            </w:r>
            <w:r w:rsidRPr="00877B95">
              <w:rPr>
                <w:w w:val="105"/>
                <w:sz w:val="19"/>
              </w:rPr>
              <w:t xml:space="preserve">. </w:t>
            </w:r>
            <w:r w:rsidR="00FC3C2D" w:rsidRPr="00877B95">
              <w:rPr>
                <w:sz w:val="19"/>
              </w:rPr>
              <w:t>To var apstiprināt, ja ir izpildīts vismaz viens no šādiem nosacījumiem:</w:t>
            </w:r>
          </w:p>
          <w:p w14:paraId="702CE021" w14:textId="5B0249F9" w:rsidR="00775B7F" w:rsidRPr="00877B95" w:rsidRDefault="00775B7F" w:rsidP="00FC3C2D">
            <w:pPr>
              <w:pStyle w:val="TableParagraph"/>
              <w:spacing w:before="10" w:line="249" w:lineRule="auto"/>
              <w:ind w:left="0"/>
              <w:rPr>
                <w:sz w:val="20"/>
              </w:rPr>
            </w:pPr>
          </w:p>
          <w:p w14:paraId="049F3F03" w14:textId="1888D6D7" w:rsidR="00775B7F" w:rsidRPr="00877B95" w:rsidRDefault="009D48F4">
            <w:pPr>
              <w:pStyle w:val="TableParagraph"/>
              <w:numPr>
                <w:ilvl w:val="0"/>
                <w:numId w:val="4"/>
              </w:numPr>
              <w:tabs>
                <w:tab w:val="left" w:pos="828"/>
                <w:tab w:val="left" w:pos="830"/>
              </w:tabs>
              <w:spacing w:before="2" w:line="249" w:lineRule="auto"/>
              <w:ind w:right="104"/>
              <w:rPr>
                <w:sz w:val="20"/>
              </w:rPr>
            </w:pPr>
            <w:r w:rsidRPr="00877B95">
              <w:rPr>
                <w:sz w:val="19"/>
              </w:rPr>
              <w:t>Iestāde ir oficiāli reģistrēta kā restorāns/kafejnīca</w:t>
            </w:r>
            <w:r w:rsidR="00FC3C2D" w:rsidRPr="00877B95">
              <w:rPr>
                <w:sz w:val="19"/>
              </w:rPr>
              <w:t xml:space="preserve"> vai sabiedrisko ēdināšanas pakalpojumu sniedzējs</w:t>
            </w:r>
            <w:r w:rsidRPr="00877B95">
              <w:rPr>
                <w:sz w:val="19"/>
              </w:rPr>
              <w:t xml:space="preserve">, un šī funkcija ir oficiāli reģistrēta kā tās </w:t>
            </w:r>
            <w:r w:rsidRPr="00877B95">
              <w:rPr>
                <w:w w:val="105"/>
                <w:sz w:val="19"/>
              </w:rPr>
              <w:t>galvenā darbība saskaņā ar valsts tiesību aktiem.</w:t>
            </w:r>
          </w:p>
          <w:p w14:paraId="6C4114A7" w14:textId="77777777" w:rsidR="00775B7F" w:rsidRPr="00877B95" w:rsidRDefault="009D48F4">
            <w:pPr>
              <w:pStyle w:val="TableParagraph"/>
              <w:numPr>
                <w:ilvl w:val="0"/>
                <w:numId w:val="4"/>
              </w:numPr>
              <w:tabs>
                <w:tab w:val="left" w:pos="828"/>
              </w:tabs>
              <w:spacing w:before="2"/>
              <w:ind w:left="828" w:hanging="358"/>
              <w:rPr>
                <w:sz w:val="20"/>
              </w:rPr>
            </w:pPr>
            <w:r w:rsidRPr="00877B95">
              <w:rPr>
                <w:sz w:val="19"/>
              </w:rPr>
              <w:t xml:space="preserve">Iestādes galvenā darbība ir restorāna/kafejnīcas </w:t>
            </w:r>
            <w:r w:rsidRPr="00877B95">
              <w:rPr>
                <w:spacing w:val="-2"/>
                <w:sz w:val="19"/>
              </w:rPr>
              <w:t xml:space="preserve">pakalpojumu </w:t>
            </w:r>
            <w:r w:rsidRPr="00877B95">
              <w:rPr>
                <w:sz w:val="19"/>
              </w:rPr>
              <w:t>sniegšana</w:t>
            </w:r>
            <w:r w:rsidRPr="00877B95">
              <w:rPr>
                <w:spacing w:val="-2"/>
                <w:sz w:val="19"/>
              </w:rPr>
              <w:t>.</w:t>
            </w:r>
          </w:p>
          <w:p w14:paraId="17C23E36" w14:textId="2BFED92D" w:rsidR="00775B7F" w:rsidRPr="00877B95" w:rsidRDefault="001A4A5D">
            <w:pPr>
              <w:pStyle w:val="TableParagraph"/>
              <w:numPr>
                <w:ilvl w:val="0"/>
                <w:numId w:val="4"/>
              </w:numPr>
              <w:tabs>
                <w:tab w:val="left" w:pos="828"/>
                <w:tab w:val="left" w:pos="830"/>
              </w:tabs>
              <w:spacing w:line="240" w:lineRule="atLeast"/>
              <w:ind w:right="93"/>
              <w:rPr>
                <w:sz w:val="20"/>
              </w:rPr>
            </w:pPr>
            <w:r w:rsidRPr="00877B95">
              <w:rPr>
                <w:sz w:val="19"/>
              </w:rPr>
              <w:t>Iestādes mārketinga aktivitātes un komunikācija ar klientiem, kā arī sākotnējā pārbaudē sniegtā informācija apstiprina, ka galvenā darbība ir restorānu/kafejnīcas pakalpojumu sniegšana.</w:t>
            </w:r>
          </w:p>
        </w:tc>
      </w:tr>
      <w:tr w:rsidR="00775B7F" w:rsidRPr="00877B95" w14:paraId="419B4ED6" w14:textId="77777777">
        <w:trPr>
          <w:trHeight w:val="2645"/>
        </w:trPr>
        <w:tc>
          <w:tcPr>
            <w:tcW w:w="3060" w:type="dxa"/>
          </w:tcPr>
          <w:p w14:paraId="598D1171" w14:textId="77777777" w:rsidR="00775B7F" w:rsidRPr="00877B95" w:rsidRDefault="009D48F4">
            <w:pPr>
              <w:pStyle w:val="TableParagraph"/>
              <w:spacing w:before="249"/>
              <w:rPr>
                <w:b/>
              </w:rPr>
            </w:pPr>
            <w:r w:rsidRPr="00877B95">
              <w:rPr>
                <w:b/>
                <w:spacing w:val="-7"/>
                <w:sz w:val="21"/>
              </w:rPr>
              <w:t xml:space="preserve">Atrakcijas </w:t>
            </w:r>
            <w:r w:rsidRPr="00877B95">
              <w:rPr>
                <w:b/>
                <w:spacing w:val="-5"/>
                <w:sz w:val="21"/>
              </w:rPr>
              <w:t>(A)</w:t>
            </w:r>
          </w:p>
        </w:tc>
        <w:tc>
          <w:tcPr>
            <w:tcW w:w="10936" w:type="dxa"/>
          </w:tcPr>
          <w:p w14:paraId="13E2F7B1" w14:textId="77777777" w:rsidR="00775B7F" w:rsidRPr="00877B95" w:rsidRDefault="00775B7F">
            <w:pPr>
              <w:pStyle w:val="TableParagraph"/>
              <w:spacing w:before="19"/>
              <w:ind w:left="0"/>
              <w:rPr>
                <w:sz w:val="20"/>
              </w:rPr>
            </w:pPr>
          </w:p>
          <w:p w14:paraId="0544FA66" w14:textId="0F15A5DA" w:rsidR="00775B7F" w:rsidRPr="00877B95" w:rsidRDefault="009D48F4">
            <w:pPr>
              <w:pStyle w:val="TableParagraph"/>
              <w:spacing w:line="249" w:lineRule="auto"/>
              <w:ind w:right="96"/>
              <w:jc w:val="both"/>
              <w:rPr>
                <w:b/>
                <w:sz w:val="20"/>
              </w:rPr>
            </w:pPr>
            <w:r w:rsidRPr="00877B95">
              <w:rPr>
                <w:b/>
                <w:spacing w:val="-4"/>
                <w:sz w:val="19"/>
              </w:rPr>
              <w:t xml:space="preserve">Zaļās </w:t>
            </w:r>
            <w:r w:rsidR="00F07186" w:rsidRPr="00877B95">
              <w:rPr>
                <w:b/>
                <w:spacing w:val="-4"/>
                <w:sz w:val="19"/>
              </w:rPr>
              <w:t>A</w:t>
            </w:r>
            <w:r w:rsidRPr="00877B95">
              <w:rPr>
                <w:b/>
                <w:spacing w:val="-4"/>
                <w:sz w:val="19"/>
              </w:rPr>
              <w:t xml:space="preserve">tslēgas </w:t>
            </w:r>
            <w:r w:rsidR="00FC3C2D" w:rsidRPr="00877B95">
              <w:rPr>
                <w:b/>
                <w:spacing w:val="-4"/>
                <w:sz w:val="19"/>
              </w:rPr>
              <w:t>atrakciju sertifikācijas kategorijas</w:t>
            </w:r>
            <w:r w:rsidRPr="00877B95">
              <w:rPr>
                <w:b/>
                <w:spacing w:val="-4"/>
                <w:sz w:val="19"/>
              </w:rPr>
              <w:t xml:space="preserve"> kritēriji attiecas uz pilnībā funkcionējošiem muzejiem, apmeklētāju/interpretācijas centriem un tematiskajiem </w:t>
            </w:r>
            <w:r w:rsidRPr="00877B95">
              <w:rPr>
                <w:b/>
                <w:spacing w:val="-2"/>
                <w:sz w:val="19"/>
              </w:rPr>
              <w:t>parkiem.</w:t>
            </w:r>
            <w:r w:rsidRPr="00877B95">
              <w:rPr>
                <w:b/>
                <w:spacing w:val="-12"/>
                <w:sz w:val="19"/>
              </w:rPr>
              <w:t xml:space="preserve"> </w:t>
            </w:r>
            <w:r w:rsidRPr="00877B95">
              <w:rPr>
                <w:b/>
                <w:spacing w:val="-2"/>
                <w:sz w:val="19"/>
              </w:rPr>
              <w:t>Objekti, kuros notiek liela apjoma būvniecības/renovācijas darbi</w:t>
            </w:r>
            <w:hyperlink w:anchor="_bookmark5" w:history="1">
              <w:r w:rsidRPr="00877B95">
                <w:rPr>
                  <w:b/>
                  <w:spacing w:val="-2"/>
                  <w:position w:val="7"/>
                  <w:sz w:val="12"/>
                </w:rPr>
                <w:t>(6) ,</w:t>
              </w:r>
            </w:hyperlink>
            <w:r w:rsidRPr="00877B95">
              <w:rPr>
                <w:b/>
                <w:spacing w:val="-2"/>
                <w:sz w:val="19"/>
              </w:rPr>
              <w:t xml:space="preserve">sertifikātu var saņemt tikai pēc </w:t>
            </w:r>
            <w:r w:rsidRPr="00877B95">
              <w:rPr>
                <w:b/>
                <w:spacing w:val="-4"/>
                <w:sz w:val="19"/>
              </w:rPr>
              <w:t xml:space="preserve">darbu pabeigšanas. Lai gan iestādes, kas piedāvā pagaidu/neregulārus pakalpojumus, neietilpst šajā </w:t>
            </w:r>
            <w:r w:rsidRPr="00877B95">
              <w:rPr>
                <w:b/>
                <w:spacing w:val="-6"/>
                <w:sz w:val="19"/>
              </w:rPr>
              <w:t xml:space="preserve">kategorijā, sezonas iestādes var būt tiesīgas saņemt sertifikātu, ja tās ir pilnībā darbspējīgas audita laikā. Atrakcija </w:t>
            </w:r>
            <w:r w:rsidRPr="00877B95">
              <w:rPr>
                <w:b/>
                <w:spacing w:val="-4"/>
                <w:sz w:val="19"/>
              </w:rPr>
              <w:t>atrodas pastāvīgā vietā un piedāvā pakalpojumus plašai sabiedrībai.</w:t>
            </w:r>
          </w:p>
          <w:p w14:paraId="4246DE44" w14:textId="77777777" w:rsidR="00775B7F" w:rsidRPr="00877B95" w:rsidRDefault="00775B7F">
            <w:pPr>
              <w:pStyle w:val="TableParagraph"/>
              <w:spacing w:before="10"/>
              <w:ind w:left="0"/>
              <w:rPr>
                <w:sz w:val="20"/>
              </w:rPr>
            </w:pPr>
          </w:p>
          <w:p w14:paraId="33C9ADEC" w14:textId="77777777" w:rsidR="00775B7F" w:rsidRPr="00877B95" w:rsidRDefault="009D48F4">
            <w:pPr>
              <w:pStyle w:val="TableParagraph"/>
              <w:jc w:val="both"/>
              <w:rPr>
                <w:b/>
                <w:sz w:val="20"/>
              </w:rPr>
            </w:pPr>
            <w:r w:rsidRPr="00877B95">
              <w:rPr>
                <w:b/>
                <w:spacing w:val="-6"/>
                <w:sz w:val="19"/>
              </w:rPr>
              <w:t>Muzeja, apmeklētāju/interpretācijas centra un tematiskā parka definīcijas:</w:t>
            </w:r>
          </w:p>
          <w:p w14:paraId="5B21FAB1" w14:textId="64C33CF3" w:rsidR="00775B7F" w:rsidRPr="00877B95" w:rsidRDefault="009D48F4">
            <w:pPr>
              <w:pStyle w:val="TableParagraph"/>
              <w:numPr>
                <w:ilvl w:val="0"/>
                <w:numId w:val="3"/>
              </w:numPr>
              <w:tabs>
                <w:tab w:val="left" w:pos="830"/>
              </w:tabs>
              <w:spacing w:line="240" w:lineRule="exact"/>
              <w:ind w:right="101"/>
              <w:jc w:val="both"/>
              <w:rPr>
                <w:b/>
                <w:sz w:val="20"/>
              </w:rPr>
            </w:pPr>
            <w:r w:rsidRPr="00877B95">
              <w:rPr>
                <w:b/>
                <w:w w:val="90"/>
                <w:sz w:val="19"/>
              </w:rPr>
              <w:t xml:space="preserve">Muzejs: </w:t>
            </w:r>
            <w:r w:rsidR="00FC3C2D" w:rsidRPr="00877B95">
              <w:rPr>
                <w:b/>
                <w:bCs/>
                <w:sz w:val="19"/>
                <w:szCs w:val="19"/>
              </w:rPr>
              <w:t>pastāvīga, publiski pieejama, bezpeļņas institūcija, kas kalpo sabiedrībai, pētot, komplektējot, saglabājot un eksponējot materiālo un nemateriālo kultūras vai dabas mantojumu</w:t>
            </w:r>
            <w:r w:rsidR="00FC3C2D" w:rsidRPr="00877B95">
              <w:rPr>
                <w:b/>
                <w:spacing w:val="-4"/>
                <w:sz w:val="19"/>
              </w:rPr>
              <w:t xml:space="preserve"> </w:t>
            </w:r>
            <w:r w:rsidRPr="00877B95">
              <w:rPr>
                <w:b/>
                <w:spacing w:val="-4"/>
                <w:sz w:val="19"/>
              </w:rPr>
              <w:t>izglītības, pētniecības un izklaides nolūkos.</w:t>
            </w:r>
          </w:p>
        </w:tc>
      </w:tr>
    </w:tbl>
    <w:p w14:paraId="7E2C4F37" w14:textId="77777777" w:rsidR="00775B7F" w:rsidRPr="00877B95" w:rsidRDefault="009D48F4">
      <w:pPr>
        <w:pStyle w:val="BodyText"/>
        <w:spacing w:before="39"/>
      </w:pPr>
      <w:r w:rsidRPr="00877B95">
        <w:rPr>
          <w:noProof/>
        </w:rPr>
        <mc:AlternateContent>
          <mc:Choice Requires="wps">
            <w:drawing>
              <wp:anchor distT="0" distB="0" distL="0" distR="0" simplePos="0" relativeHeight="251665408" behindDoc="1" locked="0" layoutInCell="1" allowOverlap="1" wp14:anchorId="3F2A236C" wp14:editId="4E9DC278">
                <wp:simplePos x="0" y="0"/>
                <wp:positionH relativeFrom="page">
                  <wp:posOffset>899160</wp:posOffset>
                </wp:positionH>
                <wp:positionV relativeFrom="paragraph">
                  <wp:posOffset>186642</wp:posOffset>
                </wp:positionV>
                <wp:extent cx="1829435" cy="7620"/>
                <wp:effectExtent l="0" t="0" r="0" b="0"/>
                <wp:wrapTopAndBottom/>
                <wp:docPr id="6" name="Graphic 6"/>
                <wp:cNvGraphicFramePr/>
                <a:graphic xmlns:a="http://schemas.openxmlformats.org/drawingml/2006/main">
                  <a:graphicData uri="http://schemas.microsoft.com/office/word/2010/wordprocessingShape">
                    <wps:wsp>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261E31B" id="Graphic 6" o:spid="_x0000_s1026" style="position:absolute;margin-left:70.8pt;margin-top:14.7pt;width:144.0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" path="m1829053,l,,,7620r1829053,l1829053,xe" fillcolor="black" stroked="f">
                <v:path arrowok="t"/>
                <w10:wrap type="topAndBottom" anchorx="page"/>
              </v:shape>
            </w:pict>
          </mc:Fallback>
        </mc:AlternateContent>
      </w:r>
    </w:p>
    <w:p w14:paraId="04E7EB44" w14:textId="77777777" w:rsidR="00775B7F" w:rsidRPr="00877B95" w:rsidRDefault="009D48F4">
      <w:pPr>
        <w:spacing w:before="99"/>
        <w:ind w:left="140"/>
        <w:rPr>
          <w:sz w:val="16"/>
        </w:rPr>
      </w:pPr>
      <w:bookmarkStart w:id="4" w:name="_bookmark4"/>
      <w:bookmarkEnd w:id="4"/>
      <w:r w:rsidRPr="00877B95">
        <w:rPr>
          <w:rFonts w:ascii="Times New Roman"/>
          <w:spacing w:val="-4"/>
          <w:position w:val="7"/>
          <w:sz w:val="12"/>
        </w:rPr>
        <w:t>5</w:t>
      </w:r>
      <w:r w:rsidRPr="00877B95">
        <w:rPr>
          <w:spacing w:val="-4"/>
          <w:sz w:val="15"/>
        </w:rPr>
        <w:t xml:space="preserve">  Skatīt glosāriju</w:t>
      </w:r>
      <w:r w:rsidRPr="00877B95">
        <w:rPr>
          <w:spacing w:val="-7"/>
          <w:sz w:val="15"/>
        </w:rPr>
        <w:t xml:space="preserve"> 1.</w:t>
      </w:r>
      <w:r w:rsidRPr="00877B95">
        <w:rPr>
          <w:spacing w:val="-4"/>
          <w:sz w:val="15"/>
        </w:rPr>
        <w:t xml:space="preserve"> lpp.</w:t>
      </w:r>
    </w:p>
    <w:p w14:paraId="503953F6" w14:textId="77777777" w:rsidR="00775B7F" w:rsidRPr="00877B95" w:rsidRDefault="009D48F4">
      <w:pPr>
        <w:spacing w:before="2"/>
        <w:ind w:left="140"/>
        <w:rPr>
          <w:sz w:val="16"/>
        </w:rPr>
      </w:pPr>
      <w:bookmarkStart w:id="5" w:name="_bookmark5"/>
      <w:bookmarkEnd w:id="5"/>
      <w:r w:rsidRPr="00877B95">
        <w:rPr>
          <w:rFonts w:ascii="Times New Roman"/>
          <w:spacing w:val="-4"/>
          <w:position w:val="7"/>
          <w:sz w:val="12"/>
        </w:rPr>
        <w:lastRenderedPageBreak/>
        <w:t>6</w:t>
      </w:r>
      <w:r w:rsidRPr="00877B95">
        <w:rPr>
          <w:spacing w:val="-4"/>
          <w:sz w:val="15"/>
        </w:rPr>
        <w:t xml:space="preserve">  Skatīt glosāriju</w:t>
      </w:r>
      <w:r w:rsidRPr="00877B95">
        <w:rPr>
          <w:spacing w:val="-7"/>
          <w:sz w:val="15"/>
        </w:rPr>
        <w:t xml:space="preserve"> 1.</w:t>
      </w:r>
      <w:r w:rsidRPr="00877B95">
        <w:rPr>
          <w:spacing w:val="-4"/>
          <w:sz w:val="15"/>
        </w:rPr>
        <w:t xml:space="preserve"> lpp.</w:t>
      </w:r>
    </w:p>
    <w:p w14:paraId="4256F06A" w14:textId="77777777" w:rsidR="00775B7F" w:rsidRPr="00877B95" w:rsidRDefault="00775B7F">
      <w:pPr>
        <w:rPr>
          <w:sz w:val="16"/>
        </w:rPr>
        <w:sectPr w:rsidR="00775B7F" w:rsidRPr="00877B95">
          <w:pgSz w:w="16840" w:h="11910" w:orient="landscape"/>
          <w:pgMar w:top="1340" w:right="1275" w:bottom="1180" w:left="1275" w:header="0" w:footer="986" w:gutter="0"/>
          <w:cols w:space="708"/>
        </w:sectPr>
      </w:pPr>
    </w:p>
    <w:p w14:paraId="1C51E981" w14:textId="77777777" w:rsidR="00775B7F" w:rsidRPr="00877B95" w:rsidRDefault="00775B7F">
      <w:pPr>
        <w:pStyle w:val="BodyText"/>
        <w:spacing w:before="1"/>
        <w:rPr>
          <w:sz w:val="6"/>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10936"/>
      </w:tblGrid>
      <w:tr w:rsidR="00775B7F" w14:paraId="5FCE801B" w14:textId="77777777">
        <w:trPr>
          <w:trHeight w:val="4089"/>
        </w:trPr>
        <w:tc>
          <w:tcPr>
            <w:tcW w:w="3060" w:type="dxa"/>
          </w:tcPr>
          <w:p w14:paraId="0D77A8EC" w14:textId="77777777" w:rsidR="00775B7F" w:rsidRPr="00877B95" w:rsidRDefault="00775B7F">
            <w:pPr>
              <w:pStyle w:val="TableParagraph"/>
              <w:ind w:left="0"/>
              <w:rPr>
                <w:rFonts w:ascii="Times New Roman"/>
                <w:sz w:val="18"/>
              </w:rPr>
            </w:pPr>
          </w:p>
        </w:tc>
        <w:tc>
          <w:tcPr>
            <w:tcW w:w="10936" w:type="dxa"/>
          </w:tcPr>
          <w:p w14:paraId="42981BE8" w14:textId="310F12CD" w:rsidR="00775B7F" w:rsidRPr="00877B95" w:rsidRDefault="009D48F4">
            <w:pPr>
              <w:pStyle w:val="TableParagraph"/>
              <w:numPr>
                <w:ilvl w:val="0"/>
                <w:numId w:val="2"/>
              </w:numPr>
              <w:tabs>
                <w:tab w:val="left" w:pos="830"/>
              </w:tabs>
              <w:spacing w:before="11"/>
              <w:ind w:right="99"/>
              <w:jc w:val="both"/>
              <w:rPr>
                <w:b/>
                <w:sz w:val="20"/>
              </w:rPr>
            </w:pPr>
            <w:r w:rsidRPr="00877B95">
              <w:rPr>
                <w:b/>
                <w:spacing w:val="-6"/>
                <w:sz w:val="19"/>
              </w:rPr>
              <w:t xml:space="preserve">Apmeklētāju/interpretācijas centrs: pastāvīga iestāde, kas nodrošina interesantas vietas </w:t>
            </w:r>
            <w:r w:rsidR="000B2E29" w:rsidRPr="00877B95">
              <w:rPr>
                <w:b/>
                <w:spacing w:val="-6"/>
                <w:sz w:val="19"/>
              </w:rPr>
              <w:t>demonstrēšanu sabiedrībai</w:t>
            </w:r>
            <w:r w:rsidRPr="00877B95">
              <w:rPr>
                <w:b/>
                <w:spacing w:val="-6"/>
                <w:sz w:val="19"/>
              </w:rPr>
              <w:t>, izmantojot dažādus medijus, piemēram, video ekrānus un izstādes, kā arī nodrošinot materiālus</w:t>
            </w:r>
            <w:r w:rsidR="000B2E29" w:rsidRPr="00877B95">
              <w:rPr>
                <w:b/>
                <w:spacing w:val="-6"/>
                <w:sz w:val="19"/>
              </w:rPr>
              <w:t xml:space="preserve"> par attiecīgo tematiku</w:t>
            </w:r>
            <w:r w:rsidRPr="00877B95">
              <w:rPr>
                <w:b/>
                <w:spacing w:val="-6"/>
                <w:sz w:val="19"/>
              </w:rPr>
              <w:t>.</w:t>
            </w:r>
          </w:p>
          <w:p w14:paraId="607379A2" w14:textId="386E7DCB" w:rsidR="00775B7F" w:rsidRPr="00877B95" w:rsidRDefault="009D48F4">
            <w:pPr>
              <w:pStyle w:val="TableParagraph"/>
              <w:numPr>
                <w:ilvl w:val="0"/>
                <w:numId w:val="2"/>
              </w:numPr>
              <w:tabs>
                <w:tab w:val="left" w:pos="830"/>
              </w:tabs>
              <w:spacing w:before="10" w:line="247" w:lineRule="auto"/>
              <w:ind w:right="96"/>
              <w:jc w:val="both"/>
              <w:rPr>
                <w:b/>
                <w:sz w:val="20"/>
              </w:rPr>
            </w:pPr>
            <w:r w:rsidRPr="00877B95">
              <w:rPr>
                <w:b/>
                <w:w w:val="90"/>
                <w:sz w:val="19"/>
              </w:rPr>
              <w:t>T</w:t>
            </w:r>
            <w:r w:rsidR="000B2E29" w:rsidRPr="00877B95">
              <w:rPr>
                <w:b/>
                <w:w w:val="90"/>
                <w:sz w:val="19"/>
              </w:rPr>
              <w:t>ematiskais</w:t>
            </w:r>
            <w:r w:rsidRPr="00877B95">
              <w:rPr>
                <w:b/>
                <w:w w:val="90"/>
                <w:sz w:val="19"/>
              </w:rPr>
              <w:t xml:space="preserve"> parks: pastāvīga iestāde, kas paredzēta sabiedrības izklaidei un kurā parasti ir atrakcijas, interaktīvas vai izglītojošas aktivitātes, restorāni un dažkārt arī t</w:t>
            </w:r>
            <w:r w:rsidR="000B2E29" w:rsidRPr="00877B95">
              <w:rPr>
                <w:b/>
                <w:w w:val="90"/>
                <w:sz w:val="19"/>
              </w:rPr>
              <w:t>e</w:t>
            </w:r>
            <w:r w:rsidRPr="00877B95">
              <w:rPr>
                <w:b/>
                <w:w w:val="90"/>
                <w:sz w:val="19"/>
              </w:rPr>
              <w:t>m</w:t>
            </w:r>
            <w:r w:rsidR="000B2E29" w:rsidRPr="00877B95">
              <w:rPr>
                <w:b/>
                <w:w w:val="90"/>
                <w:sz w:val="19"/>
              </w:rPr>
              <w:t>atiskas</w:t>
            </w:r>
            <w:r w:rsidRPr="00877B95">
              <w:rPr>
                <w:b/>
                <w:w w:val="90"/>
                <w:sz w:val="19"/>
              </w:rPr>
              <w:t xml:space="preserve"> atrakcijas, kas veidotas ap vienotu koncepciju vai sižetu, piemēram, vēsturisku, kultūras vai izdomātu. Šajā kategorijā ietilpst parki, kas veicina kultūras izpratni </w:t>
            </w:r>
            <w:r w:rsidRPr="00877B95">
              <w:rPr>
                <w:b/>
                <w:spacing w:val="-6"/>
                <w:sz w:val="19"/>
              </w:rPr>
              <w:t xml:space="preserve">vai mantojuma izglītību (piemēram, vēsturiski tematiskie parki, </w:t>
            </w:r>
            <w:r w:rsidR="000B2E29" w:rsidRPr="00877B95">
              <w:rPr>
                <w:b/>
                <w:spacing w:val="-6"/>
                <w:sz w:val="19"/>
              </w:rPr>
              <w:t xml:space="preserve">kā </w:t>
            </w:r>
            <w:r w:rsidRPr="00877B95">
              <w:rPr>
                <w:b/>
                <w:spacing w:val="-6"/>
                <w:sz w:val="19"/>
              </w:rPr>
              <w:t xml:space="preserve">vikingu </w:t>
            </w:r>
            <w:r w:rsidR="000B2E29" w:rsidRPr="00877B95">
              <w:rPr>
                <w:b/>
                <w:spacing w:val="-6"/>
                <w:sz w:val="19"/>
              </w:rPr>
              <w:t>apmetnes</w:t>
            </w:r>
            <w:r w:rsidRPr="00877B95">
              <w:rPr>
                <w:b/>
                <w:spacing w:val="-6"/>
                <w:sz w:val="19"/>
              </w:rPr>
              <w:t xml:space="preserve"> vai citas </w:t>
            </w:r>
            <w:r w:rsidR="000B2E29" w:rsidRPr="00877B95">
              <w:rPr>
                <w:b/>
                <w:spacing w:val="-6"/>
                <w:sz w:val="19"/>
              </w:rPr>
              <w:t xml:space="preserve">brīvdaba </w:t>
            </w:r>
            <w:r w:rsidRPr="00877B95">
              <w:rPr>
                <w:b/>
                <w:spacing w:val="-6"/>
                <w:sz w:val="19"/>
              </w:rPr>
              <w:t xml:space="preserve">kultūras </w:t>
            </w:r>
            <w:r w:rsidR="000B2E29" w:rsidRPr="00877B95">
              <w:rPr>
                <w:b/>
                <w:spacing w:val="-6"/>
                <w:sz w:val="19"/>
              </w:rPr>
              <w:t xml:space="preserve">mantojuma </w:t>
            </w:r>
            <w:r w:rsidRPr="00877B95">
              <w:rPr>
                <w:b/>
                <w:spacing w:val="-6"/>
                <w:sz w:val="19"/>
              </w:rPr>
              <w:t>ekspozīcijas).</w:t>
            </w:r>
          </w:p>
          <w:p w14:paraId="490E1A56" w14:textId="77777777" w:rsidR="00775B7F" w:rsidRPr="00877B95" w:rsidRDefault="00775B7F">
            <w:pPr>
              <w:pStyle w:val="TableParagraph"/>
              <w:spacing w:before="11"/>
              <w:ind w:left="0"/>
              <w:rPr>
                <w:sz w:val="20"/>
              </w:rPr>
            </w:pPr>
          </w:p>
          <w:p w14:paraId="3D1530F4" w14:textId="77777777" w:rsidR="00775B7F" w:rsidRPr="00877B95" w:rsidRDefault="009D48F4">
            <w:pPr>
              <w:pStyle w:val="TableParagraph"/>
              <w:rPr>
                <w:b/>
                <w:sz w:val="20"/>
              </w:rPr>
            </w:pPr>
            <w:r w:rsidRPr="00877B95">
              <w:rPr>
                <w:b/>
                <w:spacing w:val="-2"/>
                <w:sz w:val="19"/>
              </w:rPr>
              <w:t>Atbilstība</w:t>
            </w:r>
          </w:p>
          <w:p w14:paraId="7103E711" w14:textId="4EE01AEF" w:rsidR="00775B7F" w:rsidRPr="00877B95" w:rsidRDefault="009D48F4">
            <w:pPr>
              <w:pStyle w:val="TableParagraph"/>
              <w:spacing w:before="10" w:line="252" w:lineRule="auto"/>
              <w:ind w:right="97"/>
              <w:rPr>
                <w:sz w:val="20"/>
              </w:rPr>
            </w:pPr>
            <w:r w:rsidRPr="00877B95">
              <w:rPr>
                <w:sz w:val="19"/>
              </w:rPr>
              <w:t>Lai atbilstu Zaļās atslēgas atrakcij</w:t>
            </w:r>
            <w:r w:rsidR="00471FA5" w:rsidRPr="00877B95">
              <w:rPr>
                <w:sz w:val="19"/>
              </w:rPr>
              <w:t>u kategorijas</w:t>
            </w:r>
            <w:r w:rsidRPr="00877B95">
              <w:rPr>
                <w:sz w:val="19"/>
              </w:rPr>
              <w:t xml:space="preserve"> kritērijiem, pieteikuma iesniedzēja iestādes galvenajai darbībai jābūt vienai no uzskaitītajām apakškategorijām. </w:t>
            </w:r>
            <w:r w:rsidR="00471FA5" w:rsidRPr="00877B95">
              <w:rPr>
                <w:sz w:val="19"/>
              </w:rPr>
              <w:t>To var apstiprināt, ja ir izpildīts vismaz viens no šādiem nosacījumiem</w:t>
            </w:r>
            <w:r w:rsidRPr="00877B95">
              <w:rPr>
                <w:sz w:val="19"/>
              </w:rPr>
              <w:t>:</w:t>
            </w:r>
          </w:p>
          <w:p w14:paraId="3DC45CA1" w14:textId="77777777" w:rsidR="00775B7F" w:rsidRPr="00877B95" w:rsidRDefault="009D48F4">
            <w:pPr>
              <w:pStyle w:val="TableParagraph"/>
              <w:numPr>
                <w:ilvl w:val="0"/>
                <w:numId w:val="1"/>
              </w:numPr>
              <w:tabs>
                <w:tab w:val="left" w:pos="828"/>
                <w:tab w:val="left" w:pos="830"/>
              </w:tabs>
              <w:spacing w:line="249" w:lineRule="auto"/>
              <w:ind w:right="99"/>
              <w:rPr>
                <w:sz w:val="20"/>
              </w:rPr>
            </w:pPr>
            <w:r w:rsidRPr="00877B95">
              <w:rPr>
                <w:sz w:val="19"/>
              </w:rPr>
              <w:t>Iestāde ir oficiāli reģistrēta kā muzejs, apmeklētāju interpretācijas centrs vai tematiskais parks, un šī funkcija ir oficiāli reģistrēta kā tās galvenā darbība saskaņā ar valsts tiesību aktiem.</w:t>
            </w:r>
          </w:p>
          <w:p w14:paraId="31226415" w14:textId="77777777" w:rsidR="00775B7F" w:rsidRPr="00877B95" w:rsidRDefault="009D48F4">
            <w:pPr>
              <w:pStyle w:val="TableParagraph"/>
              <w:numPr>
                <w:ilvl w:val="0"/>
                <w:numId w:val="1"/>
              </w:numPr>
              <w:tabs>
                <w:tab w:val="left" w:pos="828"/>
                <w:tab w:val="left" w:pos="830"/>
              </w:tabs>
              <w:spacing w:line="249" w:lineRule="auto"/>
              <w:ind w:right="94"/>
              <w:rPr>
                <w:sz w:val="20"/>
              </w:rPr>
            </w:pPr>
            <w:r w:rsidRPr="00877B95">
              <w:rPr>
                <w:w w:val="105"/>
                <w:sz w:val="19"/>
              </w:rPr>
              <w:t>Iestādes galvenā darbības joma ir muzeja, apmeklētāju/interpretācijas centra vai tematiskā parka pakalpojumu sniegšana.</w:t>
            </w:r>
          </w:p>
          <w:p w14:paraId="0F663A12" w14:textId="1B62A928" w:rsidR="00775B7F" w:rsidRPr="00877B95" w:rsidRDefault="009D48F4">
            <w:pPr>
              <w:pStyle w:val="TableParagraph"/>
              <w:numPr>
                <w:ilvl w:val="0"/>
                <w:numId w:val="1"/>
              </w:numPr>
              <w:tabs>
                <w:tab w:val="left" w:pos="828"/>
                <w:tab w:val="left" w:pos="830"/>
              </w:tabs>
              <w:spacing w:before="1" w:line="249" w:lineRule="auto"/>
              <w:ind w:right="93"/>
              <w:rPr>
                <w:sz w:val="20"/>
              </w:rPr>
            </w:pPr>
            <w:r w:rsidRPr="00877B95">
              <w:rPr>
                <w:sz w:val="19"/>
              </w:rPr>
              <w:t>I</w:t>
            </w:r>
            <w:r w:rsidRPr="00877B95">
              <w:rPr>
                <w:w w:val="105"/>
                <w:sz w:val="19"/>
              </w:rPr>
              <w:t>est</w:t>
            </w:r>
            <w:r w:rsidRPr="00877B95">
              <w:rPr>
                <w:sz w:val="19"/>
              </w:rPr>
              <w:t xml:space="preserve">ādes </w:t>
            </w:r>
            <w:r w:rsidR="00471FA5" w:rsidRPr="00877B95">
              <w:rPr>
                <w:sz w:val="19"/>
              </w:rPr>
              <w:t>Iestādes mārketinga aktivitātes un komunikācija ar klientiem, kā arī sākotnējā pārbaudē sniegtā informācija apstiprina, ka galvenā darbība ir.</w:t>
            </w:r>
            <w:r w:rsidRPr="00877B95">
              <w:rPr>
                <w:w w:val="105"/>
                <w:sz w:val="19"/>
              </w:rPr>
              <w:t>muzeja, apmeklētāju/interpretācijas centra vai tematiskā parka darbība.</w:t>
            </w:r>
          </w:p>
        </w:tc>
      </w:tr>
    </w:tbl>
    <w:p w14:paraId="10157529" w14:textId="77777777" w:rsidR="00775B7F" w:rsidRDefault="00775B7F"/>
    <w:sectPr w:rsidR="00775B7F">
      <w:pgSz w:w="16840" w:h="11910" w:orient="landscape"/>
      <w:pgMar w:top="1340" w:right="1275" w:bottom="1180" w:left="1275" w:header="0"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CC10" w14:textId="77777777" w:rsidR="00CA7194" w:rsidRDefault="00CA7194">
      <w:r>
        <w:separator/>
      </w:r>
    </w:p>
  </w:endnote>
  <w:endnote w:type="continuationSeparator" w:id="0">
    <w:p w14:paraId="4C51703F" w14:textId="77777777" w:rsidR="00CA7194" w:rsidRDefault="00CA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8C07" w14:textId="77777777" w:rsidR="00775B7F" w:rsidRDefault="009D48F4">
    <w:pPr>
      <w:pStyle w:val="BodyText"/>
      <w:spacing w:line="14" w:lineRule="auto"/>
    </w:pPr>
    <w:r>
      <w:rPr>
        <w:noProof/>
      </w:rPr>
      <mc:AlternateContent>
        <mc:Choice Requires="wps">
          <w:drawing>
            <wp:anchor distT="0" distB="0" distL="0" distR="0" simplePos="0" relativeHeight="251659264" behindDoc="1" locked="0" layoutInCell="1" allowOverlap="1" wp14:anchorId="7AE01D0B" wp14:editId="02C71E0B">
              <wp:simplePos x="0" y="0"/>
              <wp:positionH relativeFrom="page">
                <wp:posOffset>9681718</wp:posOffset>
              </wp:positionH>
              <wp:positionV relativeFrom="page">
                <wp:posOffset>6794824</wp:posOffset>
              </wp:positionV>
              <wp:extent cx="162560" cy="1778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2560" cy="177800"/>
                      </a:xfrm>
                      <a:prstGeom prst="rect">
                        <a:avLst/>
                      </a:prstGeom>
                    </wps:spPr>
                    <wps:txbx>
                      <w:txbxContent>
                        <w:p w14:paraId="2BD846D1" w14:textId="77777777" w:rsidR="00775B7F" w:rsidRDefault="009D48F4">
                          <w:pPr>
                            <w:pStyle w:val="BodyText"/>
                            <w:spacing w:before="29"/>
                            <w:ind w:left="60"/>
                          </w:pPr>
                          <w:r>
                            <w:rPr>
                              <w:spacing w:val="-10"/>
                              <w:w w:val="105"/>
                            </w:rPr>
                            <w:fldChar w:fldCharType="begin"/>
                          </w:r>
                          <w:r>
                            <w:rPr>
                              <w:spacing w:val="-10"/>
                              <w:w w:val="105"/>
                              <w:sz w:val="19"/>
                            </w:rPr>
                            <w:instrText xml:space="preserve"> PAGE </w:instrText>
                          </w:r>
                          <w:r>
                            <w:rPr>
                              <w:spacing w:val="-10"/>
                              <w:w w:val="105"/>
                            </w:rPr>
                            <w:fldChar w:fldCharType="separate"/>
                          </w:r>
                          <w:r>
                            <w:rPr>
                              <w:spacing w:val="-10"/>
                              <w:w w:val="105"/>
                            </w:rPr>
                            <w:t>6</w:t>
                          </w:r>
                          <w:r>
                            <w:rPr>
                              <w:spacing w:val="-10"/>
                              <w:w w:val="105"/>
                            </w:rPr>
                            <w:fldChar w:fldCharType="end"/>
                          </w:r>
                        </w:p>
                      </w:txbxContent>
                    </wps:txbx>
                    <wps:bodyPr wrap="square" lIns="0" tIns="0" rIns="0" bIns="0" rtlCol="0"/>
                  </wps:wsp>
                </a:graphicData>
              </a:graphic>
            </wp:anchor>
          </w:drawing>
        </mc:Choice>
        <mc:Fallback>
          <w:pict>
            <v:shapetype w14:anchorId="7AE01D0B" id="_x0000_t202" coordsize="21600,21600" o:spt="202" path="m,l,21600r21600,l21600,xe">
              <v:stroke joinstyle="miter"/>
              <v:path gradientshapeok="t" o:connecttype="rect"/>
            </v:shapetype>
            <v:shape id="Textbox 1" o:spid="_x0000_s1026" type="#_x0000_t202" style="position:absolute;margin-left:762.35pt;margin-top:535.05pt;width:12.8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" filled="f" stroked="f">
              <v:textbox inset="0,0,0,0">
                <w:txbxContent>
                  <w:p w14:paraId="2BD846D1" w14:textId="77777777" w:rsidR="00775B7F" w:rsidRDefault="00000000">
                    <w:pPr>
                      <w:pStyle w:val="BodyText"/>
                      <w:spacing w:before="29"/>
                      <w:ind w:left="60"/>
                    </w:pPr>
                    <w:r>
                      <w:rPr>
                        <w:spacing w:val="-10"/>
                        <w:w w:val="105"/>
                      </w:rPr>
                      <w:fldChar w:fldCharType="begin"/>
                    </w:r>
                    <w:r>
                      <w:rPr>
                        <w:spacing w:val="-10"/>
                        <w:w w:val="105"/>
                        <w:sz w:val="19"/>
                      </w:rPr>
                      <w:instrText xml:space="preserve"> PAGE </w:instrText>
                    </w:r>
                    <w:r>
                      <w:rPr>
                        <w:spacing w:val="-10"/>
                        <w:w w:val="105"/>
                      </w:rPr>
                      <w:fldChar w:fldCharType="separate"/>
                    </w:r>
                    <w:r>
                      <w:rPr>
                        <w:spacing w:val="-10"/>
                        <w:w w:val="105"/>
                      </w:rPr>
                      <w:t>6</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E132" w14:textId="77777777" w:rsidR="00CA7194" w:rsidRDefault="00CA7194">
      <w:r>
        <w:separator/>
      </w:r>
    </w:p>
  </w:footnote>
  <w:footnote w:type="continuationSeparator" w:id="0">
    <w:p w14:paraId="06CD2B08" w14:textId="77777777" w:rsidR="00CA7194" w:rsidRDefault="00CA7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D197"/>
    <w:multiLevelType w:val="hybridMultilevel"/>
    <w:tmpl w:val="00000000"/>
    <w:lvl w:ilvl="0" w:tplc="0A083330">
      <w:start w:val="1"/>
      <w:numFmt w:val="decimal"/>
      <w:lvlText w:val="%1."/>
      <w:lvlJc w:val="left"/>
      <w:pPr>
        <w:ind w:left="830" w:hanging="360"/>
        <w:jc w:val="left"/>
      </w:pPr>
      <w:rPr>
        <w:rFonts w:ascii="Arial" w:eastAsia="Arial" w:hAnsi="Arial" w:cs="Arial" w:hint="default"/>
        <w:b w:val="0"/>
        <w:bCs w:val="0"/>
        <w:i w:val="0"/>
        <w:iCs w:val="0"/>
        <w:spacing w:val="-1"/>
        <w:w w:val="97"/>
        <w:sz w:val="20"/>
        <w:szCs w:val="20"/>
        <w:lang w:val="en-US" w:eastAsia="en-US" w:bidi="ar-SA"/>
      </w:rPr>
    </w:lvl>
    <w:lvl w:ilvl="1" w:tplc="0DC0EDC0">
      <w:numFmt w:val="bullet"/>
      <w:lvlText w:val="•"/>
      <w:lvlJc w:val="left"/>
      <w:pPr>
        <w:ind w:left="1848" w:hanging="360"/>
      </w:pPr>
      <w:rPr>
        <w:rFonts w:hint="default"/>
        <w:lang w:val="en-US" w:eastAsia="en-US" w:bidi="ar-SA"/>
      </w:rPr>
    </w:lvl>
    <w:lvl w:ilvl="2" w:tplc="99AE5734">
      <w:numFmt w:val="bullet"/>
      <w:lvlText w:val="•"/>
      <w:lvlJc w:val="left"/>
      <w:pPr>
        <w:ind w:left="2857" w:hanging="360"/>
      </w:pPr>
      <w:rPr>
        <w:rFonts w:hint="default"/>
        <w:lang w:val="en-US" w:eastAsia="en-US" w:bidi="ar-SA"/>
      </w:rPr>
    </w:lvl>
    <w:lvl w:ilvl="3" w:tplc="EA5458A2">
      <w:numFmt w:val="bullet"/>
      <w:lvlText w:val="•"/>
      <w:lvlJc w:val="left"/>
      <w:pPr>
        <w:ind w:left="3865" w:hanging="360"/>
      </w:pPr>
      <w:rPr>
        <w:rFonts w:hint="default"/>
        <w:lang w:val="en-US" w:eastAsia="en-US" w:bidi="ar-SA"/>
      </w:rPr>
    </w:lvl>
    <w:lvl w:ilvl="4" w:tplc="A14C5E3C">
      <w:numFmt w:val="bullet"/>
      <w:lvlText w:val="•"/>
      <w:lvlJc w:val="left"/>
      <w:pPr>
        <w:ind w:left="4874" w:hanging="360"/>
      </w:pPr>
      <w:rPr>
        <w:rFonts w:hint="default"/>
        <w:lang w:val="en-US" w:eastAsia="en-US" w:bidi="ar-SA"/>
      </w:rPr>
    </w:lvl>
    <w:lvl w:ilvl="5" w:tplc="8098D404">
      <w:numFmt w:val="bullet"/>
      <w:lvlText w:val="•"/>
      <w:lvlJc w:val="left"/>
      <w:pPr>
        <w:ind w:left="5883" w:hanging="360"/>
      </w:pPr>
      <w:rPr>
        <w:rFonts w:hint="default"/>
        <w:lang w:val="en-US" w:eastAsia="en-US" w:bidi="ar-SA"/>
      </w:rPr>
    </w:lvl>
    <w:lvl w:ilvl="6" w:tplc="5E3C934A">
      <w:numFmt w:val="bullet"/>
      <w:lvlText w:val="•"/>
      <w:lvlJc w:val="left"/>
      <w:pPr>
        <w:ind w:left="6891" w:hanging="360"/>
      </w:pPr>
      <w:rPr>
        <w:rFonts w:hint="default"/>
        <w:lang w:val="en-US" w:eastAsia="en-US" w:bidi="ar-SA"/>
      </w:rPr>
    </w:lvl>
    <w:lvl w:ilvl="7" w:tplc="FB3E0D78">
      <w:numFmt w:val="bullet"/>
      <w:lvlText w:val="•"/>
      <w:lvlJc w:val="left"/>
      <w:pPr>
        <w:ind w:left="7900" w:hanging="360"/>
      </w:pPr>
      <w:rPr>
        <w:rFonts w:hint="default"/>
        <w:lang w:val="en-US" w:eastAsia="en-US" w:bidi="ar-SA"/>
      </w:rPr>
    </w:lvl>
    <w:lvl w:ilvl="8" w:tplc="F9EA4192">
      <w:numFmt w:val="bullet"/>
      <w:lvlText w:val="•"/>
      <w:lvlJc w:val="left"/>
      <w:pPr>
        <w:ind w:left="8908" w:hanging="360"/>
      </w:pPr>
      <w:rPr>
        <w:rFonts w:hint="default"/>
        <w:lang w:val="en-US" w:eastAsia="en-US" w:bidi="ar-SA"/>
      </w:rPr>
    </w:lvl>
  </w:abstractNum>
  <w:abstractNum w:abstractNumId="1" w15:restartNumberingAfterBreak="0">
    <w:nsid w:val="16C6C4AF"/>
    <w:multiLevelType w:val="hybridMultilevel"/>
    <w:tmpl w:val="00000000"/>
    <w:lvl w:ilvl="0" w:tplc="6CD23676">
      <w:start w:val="1"/>
      <w:numFmt w:val="decimal"/>
      <w:lvlText w:val="%1."/>
      <w:lvlJc w:val="left"/>
      <w:pPr>
        <w:ind w:left="830" w:hanging="360"/>
        <w:jc w:val="left"/>
      </w:pPr>
      <w:rPr>
        <w:rFonts w:ascii="Arial" w:eastAsia="Arial" w:hAnsi="Arial" w:cs="Arial" w:hint="default"/>
        <w:b w:val="0"/>
        <w:bCs w:val="0"/>
        <w:i w:val="0"/>
        <w:iCs w:val="0"/>
        <w:spacing w:val="-1"/>
        <w:w w:val="97"/>
        <w:sz w:val="20"/>
        <w:szCs w:val="20"/>
        <w:lang w:val="en-US" w:eastAsia="en-US" w:bidi="ar-SA"/>
      </w:rPr>
    </w:lvl>
    <w:lvl w:ilvl="1" w:tplc="DFEE60A0">
      <w:numFmt w:val="bullet"/>
      <w:lvlText w:val="•"/>
      <w:lvlJc w:val="left"/>
      <w:pPr>
        <w:ind w:left="1848" w:hanging="360"/>
      </w:pPr>
      <w:rPr>
        <w:rFonts w:hint="default"/>
        <w:lang w:val="en-US" w:eastAsia="en-US" w:bidi="ar-SA"/>
      </w:rPr>
    </w:lvl>
    <w:lvl w:ilvl="2" w:tplc="314E00FA">
      <w:numFmt w:val="bullet"/>
      <w:lvlText w:val="•"/>
      <w:lvlJc w:val="left"/>
      <w:pPr>
        <w:ind w:left="2857" w:hanging="360"/>
      </w:pPr>
      <w:rPr>
        <w:rFonts w:hint="default"/>
        <w:lang w:val="en-US" w:eastAsia="en-US" w:bidi="ar-SA"/>
      </w:rPr>
    </w:lvl>
    <w:lvl w:ilvl="3" w:tplc="AD422AD4">
      <w:numFmt w:val="bullet"/>
      <w:lvlText w:val="•"/>
      <w:lvlJc w:val="left"/>
      <w:pPr>
        <w:ind w:left="3865" w:hanging="360"/>
      </w:pPr>
      <w:rPr>
        <w:rFonts w:hint="default"/>
        <w:lang w:val="en-US" w:eastAsia="en-US" w:bidi="ar-SA"/>
      </w:rPr>
    </w:lvl>
    <w:lvl w:ilvl="4" w:tplc="8176FEC4">
      <w:numFmt w:val="bullet"/>
      <w:lvlText w:val="•"/>
      <w:lvlJc w:val="left"/>
      <w:pPr>
        <w:ind w:left="4874" w:hanging="360"/>
      </w:pPr>
      <w:rPr>
        <w:rFonts w:hint="default"/>
        <w:lang w:val="en-US" w:eastAsia="en-US" w:bidi="ar-SA"/>
      </w:rPr>
    </w:lvl>
    <w:lvl w:ilvl="5" w:tplc="570E1AC8">
      <w:numFmt w:val="bullet"/>
      <w:lvlText w:val="•"/>
      <w:lvlJc w:val="left"/>
      <w:pPr>
        <w:ind w:left="5883" w:hanging="360"/>
      </w:pPr>
      <w:rPr>
        <w:rFonts w:hint="default"/>
        <w:lang w:val="en-US" w:eastAsia="en-US" w:bidi="ar-SA"/>
      </w:rPr>
    </w:lvl>
    <w:lvl w:ilvl="6" w:tplc="E42C2114">
      <w:numFmt w:val="bullet"/>
      <w:lvlText w:val="•"/>
      <w:lvlJc w:val="left"/>
      <w:pPr>
        <w:ind w:left="6891" w:hanging="360"/>
      </w:pPr>
      <w:rPr>
        <w:rFonts w:hint="default"/>
        <w:lang w:val="en-US" w:eastAsia="en-US" w:bidi="ar-SA"/>
      </w:rPr>
    </w:lvl>
    <w:lvl w:ilvl="7" w:tplc="806C22F8">
      <w:numFmt w:val="bullet"/>
      <w:lvlText w:val="•"/>
      <w:lvlJc w:val="left"/>
      <w:pPr>
        <w:ind w:left="7900" w:hanging="360"/>
      </w:pPr>
      <w:rPr>
        <w:rFonts w:hint="default"/>
        <w:lang w:val="en-US" w:eastAsia="en-US" w:bidi="ar-SA"/>
      </w:rPr>
    </w:lvl>
    <w:lvl w:ilvl="8" w:tplc="D1C2754E">
      <w:numFmt w:val="bullet"/>
      <w:lvlText w:val="•"/>
      <w:lvlJc w:val="left"/>
      <w:pPr>
        <w:ind w:left="8908" w:hanging="360"/>
      </w:pPr>
      <w:rPr>
        <w:rFonts w:hint="default"/>
        <w:lang w:val="en-US" w:eastAsia="en-US" w:bidi="ar-SA"/>
      </w:rPr>
    </w:lvl>
  </w:abstractNum>
  <w:abstractNum w:abstractNumId="2" w15:restartNumberingAfterBreak="0">
    <w:nsid w:val="1A6EEB4D"/>
    <w:multiLevelType w:val="hybridMultilevel"/>
    <w:tmpl w:val="00000000"/>
    <w:lvl w:ilvl="0" w:tplc="6FC2D0AE">
      <w:numFmt w:val="bullet"/>
      <w:lvlText w:val="•"/>
      <w:lvlJc w:val="left"/>
      <w:pPr>
        <w:ind w:left="830" w:hanging="360"/>
      </w:pPr>
      <w:rPr>
        <w:rFonts w:ascii="Calibri" w:eastAsia="Calibri" w:hAnsi="Calibri" w:cs="Calibri" w:hint="default"/>
        <w:b w:val="0"/>
        <w:bCs w:val="0"/>
        <w:i w:val="0"/>
        <w:iCs w:val="0"/>
        <w:spacing w:val="0"/>
        <w:w w:val="91"/>
        <w:sz w:val="20"/>
        <w:szCs w:val="20"/>
        <w:lang w:val="en-US" w:eastAsia="en-US" w:bidi="ar-SA"/>
      </w:rPr>
    </w:lvl>
    <w:lvl w:ilvl="1" w:tplc="5324E168">
      <w:numFmt w:val="bullet"/>
      <w:lvlText w:val="o"/>
      <w:lvlJc w:val="left"/>
      <w:pPr>
        <w:ind w:left="1551" w:hanging="360"/>
      </w:pPr>
      <w:rPr>
        <w:rFonts w:ascii="Courier New" w:eastAsia="Courier New" w:hAnsi="Courier New" w:cs="Courier New" w:hint="default"/>
        <w:b w:val="0"/>
        <w:bCs w:val="0"/>
        <w:i w:val="0"/>
        <w:iCs w:val="0"/>
        <w:spacing w:val="0"/>
        <w:w w:val="99"/>
        <w:sz w:val="20"/>
        <w:szCs w:val="20"/>
        <w:lang w:val="en-US" w:eastAsia="en-US" w:bidi="ar-SA"/>
      </w:rPr>
    </w:lvl>
    <w:lvl w:ilvl="2" w:tplc="D4C87DB8">
      <w:numFmt w:val="bullet"/>
      <w:lvlText w:val="•"/>
      <w:lvlJc w:val="left"/>
      <w:pPr>
        <w:ind w:left="2600" w:hanging="360"/>
      </w:pPr>
      <w:rPr>
        <w:rFonts w:hint="default"/>
        <w:lang w:val="en-US" w:eastAsia="en-US" w:bidi="ar-SA"/>
      </w:rPr>
    </w:lvl>
    <w:lvl w:ilvl="3" w:tplc="75A230FA">
      <w:numFmt w:val="bullet"/>
      <w:lvlText w:val="•"/>
      <w:lvlJc w:val="left"/>
      <w:pPr>
        <w:ind w:left="3641" w:hanging="360"/>
      </w:pPr>
      <w:rPr>
        <w:rFonts w:hint="default"/>
        <w:lang w:val="en-US" w:eastAsia="en-US" w:bidi="ar-SA"/>
      </w:rPr>
    </w:lvl>
    <w:lvl w:ilvl="4" w:tplc="486479D8">
      <w:numFmt w:val="bullet"/>
      <w:lvlText w:val="•"/>
      <w:lvlJc w:val="left"/>
      <w:pPr>
        <w:ind w:left="4682" w:hanging="360"/>
      </w:pPr>
      <w:rPr>
        <w:rFonts w:hint="default"/>
        <w:lang w:val="en-US" w:eastAsia="en-US" w:bidi="ar-SA"/>
      </w:rPr>
    </w:lvl>
    <w:lvl w:ilvl="5" w:tplc="F09C18B0">
      <w:numFmt w:val="bullet"/>
      <w:lvlText w:val="•"/>
      <w:lvlJc w:val="left"/>
      <w:pPr>
        <w:ind w:left="5722" w:hanging="360"/>
      </w:pPr>
      <w:rPr>
        <w:rFonts w:hint="default"/>
        <w:lang w:val="en-US" w:eastAsia="en-US" w:bidi="ar-SA"/>
      </w:rPr>
    </w:lvl>
    <w:lvl w:ilvl="6" w:tplc="60AC2054">
      <w:numFmt w:val="bullet"/>
      <w:lvlText w:val="•"/>
      <w:lvlJc w:val="left"/>
      <w:pPr>
        <w:ind w:left="6763" w:hanging="360"/>
      </w:pPr>
      <w:rPr>
        <w:rFonts w:hint="default"/>
        <w:lang w:val="en-US" w:eastAsia="en-US" w:bidi="ar-SA"/>
      </w:rPr>
    </w:lvl>
    <w:lvl w:ilvl="7" w:tplc="AD10BC76">
      <w:numFmt w:val="bullet"/>
      <w:lvlText w:val="•"/>
      <w:lvlJc w:val="left"/>
      <w:pPr>
        <w:ind w:left="7804" w:hanging="360"/>
      </w:pPr>
      <w:rPr>
        <w:rFonts w:hint="default"/>
        <w:lang w:val="en-US" w:eastAsia="en-US" w:bidi="ar-SA"/>
      </w:rPr>
    </w:lvl>
    <w:lvl w:ilvl="8" w:tplc="923CA81E">
      <w:numFmt w:val="bullet"/>
      <w:lvlText w:val="•"/>
      <w:lvlJc w:val="left"/>
      <w:pPr>
        <w:ind w:left="8844" w:hanging="360"/>
      </w:pPr>
      <w:rPr>
        <w:rFonts w:hint="default"/>
        <w:lang w:val="en-US" w:eastAsia="en-US" w:bidi="ar-SA"/>
      </w:rPr>
    </w:lvl>
  </w:abstractNum>
  <w:abstractNum w:abstractNumId="3" w15:restartNumberingAfterBreak="0">
    <w:nsid w:val="22239BBA"/>
    <w:multiLevelType w:val="hybridMultilevel"/>
    <w:tmpl w:val="00000000"/>
    <w:lvl w:ilvl="0" w:tplc="E2D6B420">
      <w:numFmt w:val="bullet"/>
      <w:lvlText w:val="•"/>
      <w:lvlJc w:val="left"/>
      <w:pPr>
        <w:ind w:left="830" w:hanging="360"/>
      </w:pPr>
      <w:rPr>
        <w:rFonts w:ascii="Calibri" w:eastAsia="Calibri" w:hAnsi="Calibri" w:cs="Calibri" w:hint="default"/>
        <w:b w:val="0"/>
        <w:bCs w:val="0"/>
        <w:i w:val="0"/>
        <w:iCs w:val="0"/>
        <w:spacing w:val="0"/>
        <w:w w:val="91"/>
        <w:sz w:val="20"/>
        <w:szCs w:val="20"/>
        <w:lang w:val="en-US" w:eastAsia="en-US" w:bidi="ar-SA"/>
      </w:rPr>
    </w:lvl>
    <w:lvl w:ilvl="1" w:tplc="DEB0A260">
      <w:numFmt w:val="bullet"/>
      <w:lvlText w:val="o"/>
      <w:lvlJc w:val="left"/>
      <w:pPr>
        <w:ind w:left="1551" w:hanging="360"/>
      </w:pPr>
      <w:rPr>
        <w:rFonts w:ascii="Courier New" w:eastAsia="Courier New" w:hAnsi="Courier New" w:cs="Courier New" w:hint="default"/>
        <w:b w:val="0"/>
        <w:bCs w:val="0"/>
        <w:i w:val="0"/>
        <w:iCs w:val="0"/>
        <w:spacing w:val="0"/>
        <w:w w:val="99"/>
        <w:sz w:val="20"/>
        <w:szCs w:val="20"/>
        <w:lang w:val="en-US" w:eastAsia="en-US" w:bidi="ar-SA"/>
      </w:rPr>
    </w:lvl>
    <w:lvl w:ilvl="2" w:tplc="E424EC2E">
      <w:numFmt w:val="bullet"/>
      <w:lvlText w:val="•"/>
      <w:lvlJc w:val="left"/>
      <w:pPr>
        <w:ind w:left="2600" w:hanging="360"/>
      </w:pPr>
      <w:rPr>
        <w:rFonts w:hint="default"/>
        <w:lang w:val="en-US" w:eastAsia="en-US" w:bidi="ar-SA"/>
      </w:rPr>
    </w:lvl>
    <w:lvl w:ilvl="3" w:tplc="3760C51C">
      <w:numFmt w:val="bullet"/>
      <w:lvlText w:val="•"/>
      <w:lvlJc w:val="left"/>
      <w:pPr>
        <w:ind w:left="3641" w:hanging="360"/>
      </w:pPr>
      <w:rPr>
        <w:rFonts w:hint="default"/>
        <w:lang w:val="en-US" w:eastAsia="en-US" w:bidi="ar-SA"/>
      </w:rPr>
    </w:lvl>
    <w:lvl w:ilvl="4" w:tplc="68F293CE">
      <w:numFmt w:val="bullet"/>
      <w:lvlText w:val="•"/>
      <w:lvlJc w:val="left"/>
      <w:pPr>
        <w:ind w:left="4682" w:hanging="360"/>
      </w:pPr>
      <w:rPr>
        <w:rFonts w:hint="default"/>
        <w:lang w:val="en-US" w:eastAsia="en-US" w:bidi="ar-SA"/>
      </w:rPr>
    </w:lvl>
    <w:lvl w:ilvl="5" w:tplc="B712CA40">
      <w:numFmt w:val="bullet"/>
      <w:lvlText w:val="•"/>
      <w:lvlJc w:val="left"/>
      <w:pPr>
        <w:ind w:left="5722" w:hanging="360"/>
      </w:pPr>
      <w:rPr>
        <w:rFonts w:hint="default"/>
        <w:lang w:val="en-US" w:eastAsia="en-US" w:bidi="ar-SA"/>
      </w:rPr>
    </w:lvl>
    <w:lvl w:ilvl="6" w:tplc="9886E48C">
      <w:numFmt w:val="bullet"/>
      <w:lvlText w:val="•"/>
      <w:lvlJc w:val="left"/>
      <w:pPr>
        <w:ind w:left="6763" w:hanging="360"/>
      </w:pPr>
      <w:rPr>
        <w:rFonts w:hint="default"/>
        <w:lang w:val="en-US" w:eastAsia="en-US" w:bidi="ar-SA"/>
      </w:rPr>
    </w:lvl>
    <w:lvl w:ilvl="7" w:tplc="4D0AF2B2">
      <w:numFmt w:val="bullet"/>
      <w:lvlText w:val="•"/>
      <w:lvlJc w:val="left"/>
      <w:pPr>
        <w:ind w:left="7804" w:hanging="360"/>
      </w:pPr>
      <w:rPr>
        <w:rFonts w:hint="default"/>
        <w:lang w:val="en-US" w:eastAsia="en-US" w:bidi="ar-SA"/>
      </w:rPr>
    </w:lvl>
    <w:lvl w:ilvl="8" w:tplc="4D5AFB58">
      <w:numFmt w:val="bullet"/>
      <w:lvlText w:val="•"/>
      <w:lvlJc w:val="left"/>
      <w:pPr>
        <w:ind w:left="8844" w:hanging="360"/>
      </w:pPr>
      <w:rPr>
        <w:rFonts w:hint="default"/>
        <w:lang w:val="en-US" w:eastAsia="en-US" w:bidi="ar-SA"/>
      </w:rPr>
    </w:lvl>
  </w:abstractNum>
  <w:abstractNum w:abstractNumId="4" w15:restartNumberingAfterBreak="0">
    <w:nsid w:val="27ADA02A"/>
    <w:multiLevelType w:val="hybridMultilevel"/>
    <w:tmpl w:val="00000000"/>
    <w:lvl w:ilvl="0" w:tplc="3CDEA062">
      <w:numFmt w:val="bullet"/>
      <w:lvlText w:val="•"/>
      <w:lvlJc w:val="left"/>
      <w:pPr>
        <w:ind w:left="830" w:hanging="360"/>
      </w:pPr>
      <w:rPr>
        <w:rFonts w:ascii="Calibri" w:eastAsia="Calibri" w:hAnsi="Calibri" w:cs="Calibri" w:hint="default"/>
        <w:b w:val="0"/>
        <w:bCs w:val="0"/>
        <w:i w:val="0"/>
        <w:iCs w:val="0"/>
        <w:spacing w:val="0"/>
        <w:w w:val="91"/>
        <w:sz w:val="20"/>
        <w:szCs w:val="20"/>
        <w:lang w:val="en-US" w:eastAsia="en-US" w:bidi="ar-SA"/>
      </w:rPr>
    </w:lvl>
    <w:lvl w:ilvl="1" w:tplc="4CB40896">
      <w:numFmt w:val="bullet"/>
      <w:lvlText w:val="•"/>
      <w:lvlJc w:val="left"/>
      <w:pPr>
        <w:ind w:left="1848" w:hanging="360"/>
      </w:pPr>
      <w:rPr>
        <w:rFonts w:hint="default"/>
        <w:lang w:val="en-US" w:eastAsia="en-US" w:bidi="ar-SA"/>
      </w:rPr>
    </w:lvl>
    <w:lvl w:ilvl="2" w:tplc="C9ECECD0">
      <w:numFmt w:val="bullet"/>
      <w:lvlText w:val="•"/>
      <w:lvlJc w:val="left"/>
      <w:pPr>
        <w:ind w:left="2857" w:hanging="360"/>
      </w:pPr>
      <w:rPr>
        <w:rFonts w:hint="default"/>
        <w:lang w:val="en-US" w:eastAsia="en-US" w:bidi="ar-SA"/>
      </w:rPr>
    </w:lvl>
    <w:lvl w:ilvl="3" w:tplc="A6EC4F44">
      <w:numFmt w:val="bullet"/>
      <w:lvlText w:val="•"/>
      <w:lvlJc w:val="left"/>
      <w:pPr>
        <w:ind w:left="3865" w:hanging="360"/>
      </w:pPr>
      <w:rPr>
        <w:rFonts w:hint="default"/>
        <w:lang w:val="en-US" w:eastAsia="en-US" w:bidi="ar-SA"/>
      </w:rPr>
    </w:lvl>
    <w:lvl w:ilvl="4" w:tplc="5E0ED9C4">
      <w:numFmt w:val="bullet"/>
      <w:lvlText w:val="•"/>
      <w:lvlJc w:val="left"/>
      <w:pPr>
        <w:ind w:left="4874" w:hanging="360"/>
      </w:pPr>
      <w:rPr>
        <w:rFonts w:hint="default"/>
        <w:lang w:val="en-US" w:eastAsia="en-US" w:bidi="ar-SA"/>
      </w:rPr>
    </w:lvl>
    <w:lvl w:ilvl="5" w:tplc="B1A82694">
      <w:numFmt w:val="bullet"/>
      <w:lvlText w:val="•"/>
      <w:lvlJc w:val="left"/>
      <w:pPr>
        <w:ind w:left="5883" w:hanging="360"/>
      </w:pPr>
      <w:rPr>
        <w:rFonts w:hint="default"/>
        <w:lang w:val="en-US" w:eastAsia="en-US" w:bidi="ar-SA"/>
      </w:rPr>
    </w:lvl>
    <w:lvl w:ilvl="6" w:tplc="830A841C">
      <w:numFmt w:val="bullet"/>
      <w:lvlText w:val="•"/>
      <w:lvlJc w:val="left"/>
      <w:pPr>
        <w:ind w:left="6891" w:hanging="360"/>
      </w:pPr>
      <w:rPr>
        <w:rFonts w:hint="default"/>
        <w:lang w:val="en-US" w:eastAsia="en-US" w:bidi="ar-SA"/>
      </w:rPr>
    </w:lvl>
    <w:lvl w:ilvl="7" w:tplc="8E32A156">
      <w:numFmt w:val="bullet"/>
      <w:lvlText w:val="•"/>
      <w:lvlJc w:val="left"/>
      <w:pPr>
        <w:ind w:left="7900" w:hanging="360"/>
      </w:pPr>
      <w:rPr>
        <w:rFonts w:hint="default"/>
        <w:lang w:val="en-US" w:eastAsia="en-US" w:bidi="ar-SA"/>
      </w:rPr>
    </w:lvl>
    <w:lvl w:ilvl="8" w:tplc="C9AA2734">
      <w:numFmt w:val="bullet"/>
      <w:lvlText w:val="•"/>
      <w:lvlJc w:val="left"/>
      <w:pPr>
        <w:ind w:left="8908" w:hanging="360"/>
      </w:pPr>
      <w:rPr>
        <w:rFonts w:hint="default"/>
        <w:lang w:val="en-US" w:eastAsia="en-US" w:bidi="ar-SA"/>
      </w:rPr>
    </w:lvl>
  </w:abstractNum>
  <w:abstractNum w:abstractNumId="5" w15:restartNumberingAfterBreak="0">
    <w:nsid w:val="27B4B10B"/>
    <w:multiLevelType w:val="hybridMultilevel"/>
    <w:tmpl w:val="00000000"/>
    <w:lvl w:ilvl="0" w:tplc="AB22DCEC">
      <w:start w:val="1"/>
      <w:numFmt w:val="decimal"/>
      <w:lvlText w:val="%1."/>
      <w:lvlJc w:val="left"/>
      <w:pPr>
        <w:ind w:left="830" w:hanging="360"/>
        <w:jc w:val="left"/>
      </w:pPr>
      <w:rPr>
        <w:rFonts w:ascii="Arial" w:eastAsia="Arial" w:hAnsi="Arial" w:cs="Arial" w:hint="default"/>
        <w:b w:val="0"/>
        <w:bCs w:val="0"/>
        <w:i w:val="0"/>
        <w:iCs w:val="0"/>
        <w:spacing w:val="-1"/>
        <w:w w:val="97"/>
        <w:sz w:val="20"/>
        <w:szCs w:val="20"/>
        <w:lang w:val="en-US" w:eastAsia="en-US" w:bidi="ar-SA"/>
      </w:rPr>
    </w:lvl>
    <w:lvl w:ilvl="1" w:tplc="01CAFA1A">
      <w:numFmt w:val="bullet"/>
      <w:lvlText w:val="•"/>
      <w:lvlJc w:val="left"/>
      <w:pPr>
        <w:ind w:left="1848" w:hanging="360"/>
      </w:pPr>
      <w:rPr>
        <w:rFonts w:hint="default"/>
        <w:lang w:val="en-US" w:eastAsia="en-US" w:bidi="ar-SA"/>
      </w:rPr>
    </w:lvl>
    <w:lvl w:ilvl="2" w:tplc="6292FF92">
      <w:numFmt w:val="bullet"/>
      <w:lvlText w:val="•"/>
      <w:lvlJc w:val="left"/>
      <w:pPr>
        <w:ind w:left="2857" w:hanging="360"/>
      </w:pPr>
      <w:rPr>
        <w:rFonts w:hint="default"/>
        <w:lang w:val="en-US" w:eastAsia="en-US" w:bidi="ar-SA"/>
      </w:rPr>
    </w:lvl>
    <w:lvl w:ilvl="3" w:tplc="46E40312">
      <w:numFmt w:val="bullet"/>
      <w:lvlText w:val="•"/>
      <w:lvlJc w:val="left"/>
      <w:pPr>
        <w:ind w:left="3865" w:hanging="360"/>
      </w:pPr>
      <w:rPr>
        <w:rFonts w:hint="default"/>
        <w:lang w:val="en-US" w:eastAsia="en-US" w:bidi="ar-SA"/>
      </w:rPr>
    </w:lvl>
    <w:lvl w:ilvl="4" w:tplc="02329596">
      <w:numFmt w:val="bullet"/>
      <w:lvlText w:val="•"/>
      <w:lvlJc w:val="left"/>
      <w:pPr>
        <w:ind w:left="4874" w:hanging="360"/>
      </w:pPr>
      <w:rPr>
        <w:rFonts w:hint="default"/>
        <w:lang w:val="en-US" w:eastAsia="en-US" w:bidi="ar-SA"/>
      </w:rPr>
    </w:lvl>
    <w:lvl w:ilvl="5" w:tplc="2DDE056E">
      <w:numFmt w:val="bullet"/>
      <w:lvlText w:val="•"/>
      <w:lvlJc w:val="left"/>
      <w:pPr>
        <w:ind w:left="5883" w:hanging="360"/>
      </w:pPr>
      <w:rPr>
        <w:rFonts w:hint="default"/>
        <w:lang w:val="en-US" w:eastAsia="en-US" w:bidi="ar-SA"/>
      </w:rPr>
    </w:lvl>
    <w:lvl w:ilvl="6" w:tplc="B2088BFC">
      <w:numFmt w:val="bullet"/>
      <w:lvlText w:val="•"/>
      <w:lvlJc w:val="left"/>
      <w:pPr>
        <w:ind w:left="6891" w:hanging="360"/>
      </w:pPr>
      <w:rPr>
        <w:rFonts w:hint="default"/>
        <w:lang w:val="en-US" w:eastAsia="en-US" w:bidi="ar-SA"/>
      </w:rPr>
    </w:lvl>
    <w:lvl w:ilvl="7" w:tplc="C21A0004">
      <w:numFmt w:val="bullet"/>
      <w:lvlText w:val="•"/>
      <w:lvlJc w:val="left"/>
      <w:pPr>
        <w:ind w:left="7900" w:hanging="360"/>
      </w:pPr>
      <w:rPr>
        <w:rFonts w:hint="default"/>
        <w:lang w:val="en-US" w:eastAsia="en-US" w:bidi="ar-SA"/>
      </w:rPr>
    </w:lvl>
    <w:lvl w:ilvl="8" w:tplc="F894CE64">
      <w:numFmt w:val="bullet"/>
      <w:lvlText w:val="•"/>
      <w:lvlJc w:val="left"/>
      <w:pPr>
        <w:ind w:left="8908" w:hanging="360"/>
      </w:pPr>
      <w:rPr>
        <w:rFonts w:hint="default"/>
        <w:lang w:val="en-US" w:eastAsia="en-US" w:bidi="ar-SA"/>
      </w:rPr>
    </w:lvl>
  </w:abstractNum>
  <w:abstractNum w:abstractNumId="6" w15:restartNumberingAfterBreak="0">
    <w:nsid w:val="34C474C2"/>
    <w:multiLevelType w:val="hybridMultilevel"/>
    <w:tmpl w:val="00000000"/>
    <w:lvl w:ilvl="0" w:tplc="139EE26E">
      <w:numFmt w:val="bullet"/>
      <w:lvlText w:val="•"/>
      <w:lvlJc w:val="left"/>
      <w:pPr>
        <w:ind w:left="830" w:hanging="360"/>
      </w:pPr>
      <w:rPr>
        <w:rFonts w:ascii="Calibri" w:eastAsia="Calibri" w:hAnsi="Calibri" w:cs="Calibri" w:hint="default"/>
        <w:b w:val="0"/>
        <w:bCs w:val="0"/>
        <w:i w:val="0"/>
        <w:iCs w:val="0"/>
        <w:spacing w:val="0"/>
        <w:w w:val="91"/>
        <w:sz w:val="20"/>
        <w:szCs w:val="20"/>
        <w:lang w:val="en-US" w:eastAsia="en-US" w:bidi="ar-SA"/>
      </w:rPr>
    </w:lvl>
    <w:lvl w:ilvl="1" w:tplc="24C86ED6">
      <w:numFmt w:val="bullet"/>
      <w:lvlText w:val="•"/>
      <w:lvlJc w:val="left"/>
      <w:pPr>
        <w:ind w:left="1848" w:hanging="360"/>
      </w:pPr>
      <w:rPr>
        <w:rFonts w:hint="default"/>
        <w:lang w:val="en-US" w:eastAsia="en-US" w:bidi="ar-SA"/>
      </w:rPr>
    </w:lvl>
    <w:lvl w:ilvl="2" w:tplc="6C94FF70">
      <w:numFmt w:val="bullet"/>
      <w:lvlText w:val="•"/>
      <w:lvlJc w:val="left"/>
      <w:pPr>
        <w:ind w:left="2857" w:hanging="360"/>
      </w:pPr>
      <w:rPr>
        <w:rFonts w:hint="default"/>
        <w:lang w:val="en-US" w:eastAsia="en-US" w:bidi="ar-SA"/>
      </w:rPr>
    </w:lvl>
    <w:lvl w:ilvl="3" w:tplc="3626B9AA">
      <w:numFmt w:val="bullet"/>
      <w:lvlText w:val="•"/>
      <w:lvlJc w:val="left"/>
      <w:pPr>
        <w:ind w:left="3865" w:hanging="360"/>
      </w:pPr>
      <w:rPr>
        <w:rFonts w:hint="default"/>
        <w:lang w:val="en-US" w:eastAsia="en-US" w:bidi="ar-SA"/>
      </w:rPr>
    </w:lvl>
    <w:lvl w:ilvl="4" w:tplc="2BA0F990">
      <w:numFmt w:val="bullet"/>
      <w:lvlText w:val="•"/>
      <w:lvlJc w:val="left"/>
      <w:pPr>
        <w:ind w:left="4874" w:hanging="360"/>
      </w:pPr>
      <w:rPr>
        <w:rFonts w:hint="default"/>
        <w:lang w:val="en-US" w:eastAsia="en-US" w:bidi="ar-SA"/>
      </w:rPr>
    </w:lvl>
    <w:lvl w:ilvl="5" w:tplc="B02C03B8">
      <w:numFmt w:val="bullet"/>
      <w:lvlText w:val="•"/>
      <w:lvlJc w:val="left"/>
      <w:pPr>
        <w:ind w:left="5883" w:hanging="360"/>
      </w:pPr>
      <w:rPr>
        <w:rFonts w:hint="default"/>
        <w:lang w:val="en-US" w:eastAsia="en-US" w:bidi="ar-SA"/>
      </w:rPr>
    </w:lvl>
    <w:lvl w:ilvl="6" w:tplc="FD2AFCD2">
      <w:numFmt w:val="bullet"/>
      <w:lvlText w:val="•"/>
      <w:lvlJc w:val="left"/>
      <w:pPr>
        <w:ind w:left="6891" w:hanging="360"/>
      </w:pPr>
      <w:rPr>
        <w:rFonts w:hint="default"/>
        <w:lang w:val="en-US" w:eastAsia="en-US" w:bidi="ar-SA"/>
      </w:rPr>
    </w:lvl>
    <w:lvl w:ilvl="7" w:tplc="AB348DBE">
      <w:numFmt w:val="bullet"/>
      <w:lvlText w:val="•"/>
      <w:lvlJc w:val="left"/>
      <w:pPr>
        <w:ind w:left="7900" w:hanging="360"/>
      </w:pPr>
      <w:rPr>
        <w:rFonts w:hint="default"/>
        <w:lang w:val="en-US" w:eastAsia="en-US" w:bidi="ar-SA"/>
      </w:rPr>
    </w:lvl>
    <w:lvl w:ilvl="8" w:tplc="5CE05654">
      <w:numFmt w:val="bullet"/>
      <w:lvlText w:val="•"/>
      <w:lvlJc w:val="left"/>
      <w:pPr>
        <w:ind w:left="8908" w:hanging="360"/>
      </w:pPr>
      <w:rPr>
        <w:rFonts w:hint="default"/>
        <w:lang w:val="en-US" w:eastAsia="en-US" w:bidi="ar-SA"/>
      </w:rPr>
    </w:lvl>
  </w:abstractNum>
  <w:abstractNum w:abstractNumId="7" w15:restartNumberingAfterBreak="0">
    <w:nsid w:val="41EE1461"/>
    <w:multiLevelType w:val="hybridMultilevel"/>
    <w:tmpl w:val="00000000"/>
    <w:lvl w:ilvl="0" w:tplc="CADAB900">
      <w:start w:val="1"/>
      <w:numFmt w:val="decimal"/>
      <w:lvlText w:val="%1."/>
      <w:lvlJc w:val="left"/>
      <w:pPr>
        <w:ind w:left="830" w:hanging="360"/>
        <w:jc w:val="left"/>
      </w:pPr>
      <w:rPr>
        <w:rFonts w:ascii="Arial" w:eastAsia="Arial" w:hAnsi="Arial" w:cs="Arial" w:hint="default"/>
        <w:b w:val="0"/>
        <w:bCs w:val="0"/>
        <w:i w:val="0"/>
        <w:iCs w:val="0"/>
        <w:spacing w:val="-1"/>
        <w:w w:val="97"/>
        <w:sz w:val="20"/>
        <w:szCs w:val="20"/>
        <w:lang w:val="en-US" w:eastAsia="en-US" w:bidi="ar-SA"/>
      </w:rPr>
    </w:lvl>
    <w:lvl w:ilvl="1" w:tplc="BE8A41B8">
      <w:numFmt w:val="bullet"/>
      <w:lvlText w:val="•"/>
      <w:lvlJc w:val="left"/>
      <w:pPr>
        <w:ind w:left="1848" w:hanging="360"/>
      </w:pPr>
      <w:rPr>
        <w:rFonts w:hint="default"/>
        <w:lang w:val="en-US" w:eastAsia="en-US" w:bidi="ar-SA"/>
      </w:rPr>
    </w:lvl>
    <w:lvl w:ilvl="2" w:tplc="AA342CFE">
      <w:numFmt w:val="bullet"/>
      <w:lvlText w:val="•"/>
      <w:lvlJc w:val="left"/>
      <w:pPr>
        <w:ind w:left="2857" w:hanging="360"/>
      </w:pPr>
      <w:rPr>
        <w:rFonts w:hint="default"/>
        <w:lang w:val="en-US" w:eastAsia="en-US" w:bidi="ar-SA"/>
      </w:rPr>
    </w:lvl>
    <w:lvl w:ilvl="3" w:tplc="8238042E">
      <w:numFmt w:val="bullet"/>
      <w:lvlText w:val="•"/>
      <w:lvlJc w:val="left"/>
      <w:pPr>
        <w:ind w:left="3865" w:hanging="360"/>
      </w:pPr>
      <w:rPr>
        <w:rFonts w:hint="default"/>
        <w:lang w:val="en-US" w:eastAsia="en-US" w:bidi="ar-SA"/>
      </w:rPr>
    </w:lvl>
    <w:lvl w:ilvl="4" w:tplc="94F87BE0">
      <w:numFmt w:val="bullet"/>
      <w:lvlText w:val="•"/>
      <w:lvlJc w:val="left"/>
      <w:pPr>
        <w:ind w:left="4874" w:hanging="360"/>
      </w:pPr>
      <w:rPr>
        <w:rFonts w:hint="default"/>
        <w:lang w:val="en-US" w:eastAsia="en-US" w:bidi="ar-SA"/>
      </w:rPr>
    </w:lvl>
    <w:lvl w:ilvl="5" w:tplc="AABA1F28">
      <w:numFmt w:val="bullet"/>
      <w:lvlText w:val="•"/>
      <w:lvlJc w:val="left"/>
      <w:pPr>
        <w:ind w:left="5883" w:hanging="360"/>
      </w:pPr>
      <w:rPr>
        <w:rFonts w:hint="default"/>
        <w:lang w:val="en-US" w:eastAsia="en-US" w:bidi="ar-SA"/>
      </w:rPr>
    </w:lvl>
    <w:lvl w:ilvl="6" w:tplc="C8086340">
      <w:numFmt w:val="bullet"/>
      <w:lvlText w:val="•"/>
      <w:lvlJc w:val="left"/>
      <w:pPr>
        <w:ind w:left="6891" w:hanging="360"/>
      </w:pPr>
      <w:rPr>
        <w:rFonts w:hint="default"/>
        <w:lang w:val="en-US" w:eastAsia="en-US" w:bidi="ar-SA"/>
      </w:rPr>
    </w:lvl>
    <w:lvl w:ilvl="7" w:tplc="0156A18C">
      <w:numFmt w:val="bullet"/>
      <w:lvlText w:val="•"/>
      <w:lvlJc w:val="left"/>
      <w:pPr>
        <w:ind w:left="7900" w:hanging="360"/>
      </w:pPr>
      <w:rPr>
        <w:rFonts w:hint="default"/>
        <w:lang w:val="en-US" w:eastAsia="en-US" w:bidi="ar-SA"/>
      </w:rPr>
    </w:lvl>
    <w:lvl w:ilvl="8" w:tplc="22AEE522">
      <w:numFmt w:val="bullet"/>
      <w:lvlText w:val="•"/>
      <w:lvlJc w:val="left"/>
      <w:pPr>
        <w:ind w:left="8908" w:hanging="360"/>
      </w:pPr>
      <w:rPr>
        <w:rFonts w:hint="default"/>
        <w:lang w:val="en-US" w:eastAsia="en-US" w:bidi="ar-SA"/>
      </w:rPr>
    </w:lvl>
  </w:abstractNum>
  <w:abstractNum w:abstractNumId="8" w15:restartNumberingAfterBreak="0">
    <w:nsid w:val="43E0822E"/>
    <w:multiLevelType w:val="hybridMultilevel"/>
    <w:tmpl w:val="00000000"/>
    <w:lvl w:ilvl="0" w:tplc="91AAB4C8">
      <w:numFmt w:val="bullet"/>
      <w:lvlText w:val="•"/>
      <w:lvlJc w:val="left"/>
      <w:pPr>
        <w:ind w:left="830" w:hanging="360"/>
      </w:pPr>
      <w:rPr>
        <w:rFonts w:ascii="Calibri" w:eastAsia="Calibri" w:hAnsi="Calibri" w:cs="Calibri" w:hint="default"/>
        <w:b w:val="0"/>
        <w:bCs w:val="0"/>
        <w:i w:val="0"/>
        <w:iCs w:val="0"/>
        <w:spacing w:val="0"/>
        <w:w w:val="91"/>
        <w:sz w:val="20"/>
        <w:szCs w:val="20"/>
        <w:lang w:val="en-US" w:eastAsia="en-US" w:bidi="ar-SA"/>
      </w:rPr>
    </w:lvl>
    <w:lvl w:ilvl="1" w:tplc="E1448358">
      <w:numFmt w:val="bullet"/>
      <w:lvlText w:val="o"/>
      <w:lvlJc w:val="left"/>
      <w:pPr>
        <w:ind w:left="1551" w:hanging="360"/>
      </w:pPr>
      <w:rPr>
        <w:rFonts w:ascii="Courier New" w:eastAsia="Courier New" w:hAnsi="Courier New" w:cs="Courier New" w:hint="default"/>
        <w:b w:val="0"/>
        <w:bCs w:val="0"/>
        <w:i w:val="0"/>
        <w:iCs w:val="0"/>
        <w:spacing w:val="0"/>
        <w:w w:val="99"/>
        <w:sz w:val="20"/>
        <w:szCs w:val="20"/>
        <w:lang w:val="en-US" w:eastAsia="en-US" w:bidi="ar-SA"/>
      </w:rPr>
    </w:lvl>
    <w:lvl w:ilvl="2" w:tplc="61B251D8">
      <w:numFmt w:val="bullet"/>
      <w:lvlText w:val="•"/>
      <w:lvlJc w:val="left"/>
      <w:pPr>
        <w:ind w:left="2600" w:hanging="360"/>
      </w:pPr>
      <w:rPr>
        <w:rFonts w:hint="default"/>
        <w:lang w:val="en-US" w:eastAsia="en-US" w:bidi="ar-SA"/>
      </w:rPr>
    </w:lvl>
    <w:lvl w:ilvl="3" w:tplc="34B6834E">
      <w:numFmt w:val="bullet"/>
      <w:lvlText w:val="•"/>
      <w:lvlJc w:val="left"/>
      <w:pPr>
        <w:ind w:left="3641" w:hanging="360"/>
      </w:pPr>
      <w:rPr>
        <w:rFonts w:hint="default"/>
        <w:lang w:val="en-US" w:eastAsia="en-US" w:bidi="ar-SA"/>
      </w:rPr>
    </w:lvl>
    <w:lvl w:ilvl="4" w:tplc="DA1E56D8">
      <w:numFmt w:val="bullet"/>
      <w:lvlText w:val="•"/>
      <w:lvlJc w:val="left"/>
      <w:pPr>
        <w:ind w:left="4682" w:hanging="360"/>
      </w:pPr>
      <w:rPr>
        <w:rFonts w:hint="default"/>
        <w:lang w:val="en-US" w:eastAsia="en-US" w:bidi="ar-SA"/>
      </w:rPr>
    </w:lvl>
    <w:lvl w:ilvl="5" w:tplc="281047A4">
      <w:numFmt w:val="bullet"/>
      <w:lvlText w:val="•"/>
      <w:lvlJc w:val="left"/>
      <w:pPr>
        <w:ind w:left="5722" w:hanging="360"/>
      </w:pPr>
      <w:rPr>
        <w:rFonts w:hint="default"/>
        <w:lang w:val="en-US" w:eastAsia="en-US" w:bidi="ar-SA"/>
      </w:rPr>
    </w:lvl>
    <w:lvl w:ilvl="6" w:tplc="BA725CFC">
      <w:numFmt w:val="bullet"/>
      <w:lvlText w:val="•"/>
      <w:lvlJc w:val="left"/>
      <w:pPr>
        <w:ind w:left="6763" w:hanging="360"/>
      </w:pPr>
      <w:rPr>
        <w:rFonts w:hint="default"/>
        <w:lang w:val="en-US" w:eastAsia="en-US" w:bidi="ar-SA"/>
      </w:rPr>
    </w:lvl>
    <w:lvl w:ilvl="7" w:tplc="C824C442">
      <w:numFmt w:val="bullet"/>
      <w:lvlText w:val="•"/>
      <w:lvlJc w:val="left"/>
      <w:pPr>
        <w:ind w:left="7804" w:hanging="360"/>
      </w:pPr>
      <w:rPr>
        <w:rFonts w:hint="default"/>
        <w:lang w:val="en-US" w:eastAsia="en-US" w:bidi="ar-SA"/>
      </w:rPr>
    </w:lvl>
    <w:lvl w:ilvl="8" w:tplc="8E3AAF0C">
      <w:numFmt w:val="bullet"/>
      <w:lvlText w:val="•"/>
      <w:lvlJc w:val="left"/>
      <w:pPr>
        <w:ind w:left="8844" w:hanging="360"/>
      </w:pPr>
      <w:rPr>
        <w:rFonts w:hint="default"/>
        <w:lang w:val="en-US" w:eastAsia="en-US" w:bidi="ar-SA"/>
      </w:rPr>
    </w:lvl>
  </w:abstractNum>
  <w:abstractNum w:abstractNumId="9" w15:restartNumberingAfterBreak="0">
    <w:nsid w:val="7576F34F"/>
    <w:multiLevelType w:val="hybridMultilevel"/>
    <w:tmpl w:val="00000000"/>
    <w:lvl w:ilvl="0" w:tplc="6A826FCA">
      <w:start w:val="1"/>
      <w:numFmt w:val="decimal"/>
      <w:lvlText w:val="%1."/>
      <w:lvlJc w:val="left"/>
      <w:pPr>
        <w:ind w:left="830" w:hanging="360"/>
        <w:jc w:val="left"/>
      </w:pPr>
      <w:rPr>
        <w:rFonts w:ascii="Arial" w:eastAsia="Arial" w:hAnsi="Arial" w:cs="Arial" w:hint="default"/>
        <w:b w:val="0"/>
        <w:bCs w:val="0"/>
        <w:i w:val="0"/>
        <w:iCs w:val="0"/>
        <w:spacing w:val="-1"/>
        <w:w w:val="97"/>
        <w:sz w:val="20"/>
        <w:szCs w:val="20"/>
        <w:lang w:val="en-US" w:eastAsia="en-US" w:bidi="ar-SA"/>
      </w:rPr>
    </w:lvl>
    <w:lvl w:ilvl="1" w:tplc="2F2CFAC8">
      <w:numFmt w:val="bullet"/>
      <w:lvlText w:val="•"/>
      <w:lvlJc w:val="left"/>
      <w:pPr>
        <w:ind w:left="1848" w:hanging="360"/>
      </w:pPr>
      <w:rPr>
        <w:rFonts w:hint="default"/>
        <w:lang w:val="en-US" w:eastAsia="en-US" w:bidi="ar-SA"/>
      </w:rPr>
    </w:lvl>
    <w:lvl w:ilvl="2" w:tplc="7CC892EC">
      <w:numFmt w:val="bullet"/>
      <w:lvlText w:val="•"/>
      <w:lvlJc w:val="left"/>
      <w:pPr>
        <w:ind w:left="2857" w:hanging="360"/>
      </w:pPr>
      <w:rPr>
        <w:rFonts w:hint="default"/>
        <w:lang w:val="en-US" w:eastAsia="en-US" w:bidi="ar-SA"/>
      </w:rPr>
    </w:lvl>
    <w:lvl w:ilvl="3" w:tplc="D3DAEB4C">
      <w:numFmt w:val="bullet"/>
      <w:lvlText w:val="•"/>
      <w:lvlJc w:val="left"/>
      <w:pPr>
        <w:ind w:left="3865" w:hanging="360"/>
      </w:pPr>
      <w:rPr>
        <w:rFonts w:hint="default"/>
        <w:lang w:val="en-US" w:eastAsia="en-US" w:bidi="ar-SA"/>
      </w:rPr>
    </w:lvl>
    <w:lvl w:ilvl="4" w:tplc="57002B8E">
      <w:numFmt w:val="bullet"/>
      <w:lvlText w:val="•"/>
      <w:lvlJc w:val="left"/>
      <w:pPr>
        <w:ind w:left="4874" w:hanging="360"/>
      </w:pPr>
      <w:rPr>
        <w:rFonts w:hint="default"/>
        <w:lang w:val="en-US" w:eastAsia="en-US" w:bidi="ar-SA"/>
      </w:rPr>
    </w:lvl>
    <w:lvl w:ilvl="5" w:tplc="4FBEB99E">
      <w:numFmt w:val="bullet"/>
      <w:lvlText w:val="•"/>
      <w:lvlJc w:val="left"/>
      <w:pPr>
        <w:ind w:left="5883" w:hanging="360"/>
      </w:pPr>
      <w:rPr>
        <w:rFonts w:hint="default"/>
        <w:lang w:val="en-US" w:eastAsia="en-US" w:bidi="ar-SA"/>
      </w:rPr>
    </w:lvl>
    <w:lvl w:ilvl="6" w:tplc="6FF81110">
      <w:numFmt w:val="bullet"/>
      <w:lvlText w:val="•"/>
      <w:lvlJc w:val="left"/>
      <w:pPr>
        <w:ind w:left="6891" w:hanging="360"/>
      </w:pPr>
      <w:rPr>
        <w:rFonts w:hint="default"/>
        <w:lang w:val="en-US" w:eastAsia="en-US" w:bidi="ar-SA"/>
      </w:rPr>
    </w:lvl>
    <w:lvl w:ilvl="7" w:tplc="0CA0D964">
      <w:numFmt w:val="bullet"/>
      <w:lvlText w:val="•"/>
      <w:lvlJc w:val="left"/>
      <w:pPr>
        <w:ind w:left="7900" w:hanging="360"/>
      </w:pPr>
      <w:rPr>
        <w:rFonts w:hint="default"/>
        <w:lang w:val="en-US" w:eastAsia="en-US" w:bidi="ar-SA"/>
      </w:rPr>
    </w:lvl>
    <w:lvl w:ilvl="8" w:tplc="580645B0">
      <w:numFmt w:val="bullet"/>
      <w:lvlText w:val="•"/>
      <w:lvlJc w:val="left"/>
      <w:pPr>
        <w:ind w:left="8908" w:hanging="360"/>
      </w:pPr>
      <w:rPr>
        <w:rFonts w:hint="default"/>
        <w:lang w:val="en-US" w:eastAsia="en-US" w:bidi="ar-SA"/>
      </w:rPr>
    </w:lvl>
  </w:abstractNum>
  <w:abstractNum w:abstractNumId="10" w15:restartNumberingAfterBreak="0">
    <w:nsid w:val="77C5F8CB"/>
    <w:multiLevelType w:val="hybridMultilevel"/>
    <w:tmpl w:val="00000000"/>
    <w:lvl w:ilvl="0" w:tplc="7E5640DA">
      <w:start w:val="1"/>
      <w:numFmt w:val="decimal"/>
      <w:lvlText w:val="%1."/>
      <w:lvlJc w:val="left"/>
      <w:pPr>
        <w:ind w:left="830" w:hanging="360"/>
        <w:jc w:val="left"/>
      </w:pPr>
      <w:rPr>
        <w:rFonts w:ascii="Arial" w:eastAsia="Arial" w:hAnsi="Arial" w:cs="Arial" w:hint="default"/>
        <w:b w:val="0"/>
        <w:bCs w:val="0"/>
        <w:i w:val="0"/>
        <w:iCs w:val="0"/>
        <w:spacing w:val="-1"/>
        <w:w w:val="97"/>
        <w:sz w:val="20"/>
        <w:szCs w:val="20"/>
        <w:lang w:val="en-US" w:eastAsia="en-US" w:bidi="ar-SA"/>
      </w:rPr>
    </w:lvl>
    <w:lvl w:ilvl="1" w:tplc="4C06D55C">
      <w:numFmt w:val="bullet"/>
      <w:lvlText w:val="•"/>
      <w:lvlJc w:val="left"/>
      <w:pPr>
        <w:ind w:left="1848" w:hanging="360"/>
      </w:pPr>
      <w:rPr>
        <w:rFonts w:hint="default"/>
        <w:lang w:val="en-US" w:eastAsia="en-US" w:bidi="ar-SA"/>
      </w:rPr>
    </w:lvl>
    <w:lvl w:ilvl="2" w:tplc="D2D85286">
      <w:numFmt w:val="bullet"/>
      <w:lvlText w:val="•"/>
      <w:lvlJc w:val="left"/>
      <w:pPr>
        <w:ind w:left="2857" w:hanging="360"/>
      </w:pPr>
      <w:rPr>
        <w:rFonts w:hint="default"/>
        <w:lang w:val="en-US" w:eastAsia="en-US" w:bidi="ar-SA"/>
      </w:rPr>
    </w:lvl>
    <w:lvl w:ilvl="3" w:tplc="75D25C12">
      <w:numFmt w:val="bullet"/>
      <w:lvlText w:val="•"/>
      <w:lvlJc w:val="left"/>
      <w:pPr>
        <w:ind w:left="3865" w:hanging="360"/>
      </w:pPr>
      <w:rPr>
        <w:rFonts w:hint="default"/>
        <w:lang w:val="en-US" w:eastAsia="en-US" w:bidi="ar-SA"/>
      </w:rPr>
    </w:lvl>
    <w:lvl w:ilvl="4" w:tplc="7C8699C8">
      <w:numFmt w:val="bullet"/>
      <w:lvlText w:val="•"/>
      <w:lvlJc w:val="left"/>
      <w:pPr>
        <w:ind w:left="4874" w:hanging="360"/>
      </w:pPr>
      <w:rPr>
        <w:rFonts w:hint="default"/>
        <w:lang w:val="en-US" w:eastAsia="en-US" w:bidi="ar-SA"/>
      </w:rPr>
    </w:lvl>
    <w:lvl w:ilvl="5" w:tplc="1BF26542">
      <w:numFmt w:val="bullet"/>
      <w:lvlText w:val="•"/>
      <w:lvlJc w:val="left"/>
      <w:pPr>
        <w:ind w:left="5883" w:hanging="360"/>
      </w:pPr>
      <w:rPr>
        <w:rFonts w:hint="default"/>
        <w:lang w:val="en-US" w:eastAsia="en-US" w:bidi="ar-SA"/>
      </w:rPr>
    </w:lvl>
    <w:lvl w:ilvl="6" w:tplc="13608A98">
      <w:numFmt w:val="bullet"/>
      <w:lvlText w:val="•"/>
      <w:lvlJc w:val="left"/>
      <w:pPr>
        <w:ind w:left="6891" w:hanging="360"/>
      </w:pPr>
      <w:rPr>
        <w:rFonts w:hint="default"/>
        <w:lang w:val="en-US" w:eastAsia="en-US" w:bidi="ar-SA"/>
      </w:rPr>
    </w:lvl>
    <w:lvl w:ilvl="7" w:tplc="59E06C7C">
      <w:numFmt w:val="bullet"/>
      <w:lvlText w:val="•"/>
      <w:lvlJc w:val="left"/>
      <w:pPr>
        <w:ind w:left="7900" w:hanging="360"/>
      </w:pPr>
      <w:rPr>
        <w:rFonts w:hint="default"/>
        <w:lang w:val="en-US" w:eastAsia="en-US" w:bidi="ar-SA"/>
      </w:rPr>
    </w:lvl>
    <w:lvl w:ilvl="8" w:tplc="522E3BA6">
      <w:numFmt w:val="bullet"/>
      <w:lvlText w:val="•"/>
      <w:lvlJc w:val="left"/>
      <w:pPr>
        <w:ind w:left="8908" w:hanging="360"/>
      </w:pPr>
      <w:rPr>
        <w:rFonts w:hint="default"/>
        <w:lang w:val="en-US" w:eastAsia="en-US" w:bidi="ar-SA"/>
      </w:rPr>
    </w:lvl>
  </w:abstractNum>
  <w:num w:numId="1" w16cid:durableId="1222205511">
    <w:abstractNumId w:val="10"/>
  </w:num>
  <w:num w:numId="2" w16cid:durableId="90244556">
    <w:abstractNumId w:val="6"/>
  </w:num>
  <w:num w:numId="3" w16cid:durableId="1946112124">
    <w:abstractNumId w:val="4"/>
  </w:num>
  <w:num w:numId="4" w16cid:durableId="681667104">
    <w:abstractNumId w:val="1"/>
  </w:num>
  <w:num w:numId="5" w16cid:durableId="1788231477">
    <w:abstractNumId w:val="5"/>
  </w:num>
  <w:num w:numId="6" w16cid:durableId="1176725837">
    <w:abstractNumId w:val="7"/>
  </w:num>
  <w:num w:numId="7" w16cid:durableId="994601429">
    <w:abstractNumId w:val="8"/>
  </w:num>
  <w:num w:numId="8" w16cid:durableId="1740008967">
    <w:abstractNumId w:val="0"/>
  </w:num>
  <w:num w:numId="9" w16cid:durableId="1125737011">
    <w:abstractNumId w:val="3"/>
  </w:num>
  <w:num w:numId="10" w16cid:durableId="1523588937">
    <w:abstractNumId w:val="9"/>
  </w:num>
  <w:num w:numId="11" w16cid:durableId="13988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7F"/>
    <w:rsid w:val="000003E3"/>
    <w:rsid w:val="00056A99"/>
    <w:rsid w:val="00086857"/>
    <w:rsid w:val="000B2E29"/>
    <w:rsid w:val="001564A7"/>
    <w:rsid w:val="001A4A5D"/>
    <w:rsid w:val="003859BE"/>
    <w:rsid w:val="003D3E99"/>
    <w:rsid w:val="00471FA5"/>
    <w:rsid w:val="00480805"/>
    <w:rsid w:val="0054277F"/>
    <w:rsid w:val="00561765"/>
    <w:rsid w:val="0058054D"/>
    <w:rsid w:val="005C1DE1"/>
    <w:rsid w:val="006D0458"/>
    <w:rsid w:val="00723DD5"/>
    <w:rsid w:val="00775B7F"/>
    <w:rsid w:val="007E1D35"/>
    <w:rsid w:val="00877B95"/>
    <w:rsid w:val="0091197A"/>
    <w:rsid w:val="009D48F4"/>
    <w:rsid w:val="00B2536D"/>
    <w:rsid w:val="00BB088A"/>
    <w:rsid w:val="00BF064B"/>
    <w:rsid w:val="00C506BB"/>
    <w:rsid w:val="00C8414A"/>
    <w:rsid w:val="00C86BAC"/>
    <w:rsid w:val="00CA7194"/>
    <w:rsid w:val="00CF4F68"/>
    <w:rsid w:val="00D31C6D"/>
    <w:rsid w:val="00D4189A"/>
    <w:rsid w:val="00E94270"/>
    <w:rsid w:val="00EE0556"/>
    <w:rsid w:val="00F02DCA"/>
    <w:rsid w:val="00F07186"/>
    <w:rsid w:val="00FC3C2D"/>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390D3E14"/>
  <w15:docId w15:val="{134898DB-1979-4046-834A-44C3ABC7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
      <w:jc w:val="center"/>
      <w:outlineLvl w:val="0"/>
    </w:pPr>
    <w:rPr>
      <w:b/>
      <w:bCs/>
      <w:sz w:val="52"/>
      <w:szCs w:val="52"/>
    </w:rPr>
  </w:style>
  <w:style w:type="paragraph" w:styleId="Heading2">
    <w:name w:val="heading 2"/>
    <w:basedOn w:val="Normal"/>
    <w:uiPriority w:val="1"/>
    <w:qFormat/>
    <w:pPr>
      <w:spacing w:before="18"/>
      <w:ind w:left="2965" w:right="2964"/>
      <w:jc w:val="center"/>
      <w:outlineLvl w:val="1"/>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GREEN KEY</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creator>Ouwerkerk Projecten</dc:creator>
  <cp:keywords>, docId:44B44BC085A9B85F3A99CC3972D8E98E</cp:keywords>
  <cp:lastModifiedBy>Ilze Grēvele</cp:lastModifiedBy>
  <cp:revision>2</cp:revision>
  <dcterms:created xsi:type="dcterms:W3CDTF">2026-03-31T07:35:00Z</dcterms:created>
  <dcterms:modified xsi:type="dcterms:W3CDTF">2026-03-31T07:35:00Z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