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E3120" w14:textId="77777777" w:rsidR="00D83E2E" w:rsidRDefault="00D83E2E">
      <w:pPr>
        <w:pStyle w:val="BodyText"/>
        <w:spacing w:before="73"/>
        <w:rPr>
          <w:rFonts w:ascii="Times New Roman"/>
          <w:sz w:val="52"/>
        </w:rPr>
      </w:pPr>
    </w:p>
    <w:p w14:paraId="1EEF741D" w14:textId="0BEA9561" w:rsidR="00D83E2E" w:rsidRPr="00232ABC" w:rsidRDefault="00000000" w:rsidP="0034484D">
      <w:pPr>
        <w:pStyle w:val="Heading1"/>
      </w:pPr>
      <w:r w:rsidRPr="00232ABC">
        <w:rPr>
          <w:w w:val="90"/>
          <w:sz w:val="54"/>
        </w:rPr>
        <w:t xml:space="preserve">Zaļās atslēgas kritēriji un </w:t>
      </w:r>
      <w:r w:rsidR="009A5F54" w:rsidRPr="00232ABC">
        <w:rPr>
          <w:spacing w:val="-2"/>
          <w:w w:val="90"/>
          <w:sz w:val="54"/>
        </w:rPr>
        <w:t>ieviešanas vadlīnijas</w:t>
      </w:r>
    </w:p>
    <w:p w14:paraId="35276B4B" w14:textId="50F1F29D" w:rsidR="009A5F54" w:rsidRPr="00232ABC" w:rsidRDefault="00000000" w:rsidP="0034484D">
      <w:pPr>
        <w:pStyle w:val="Heading2"/>
        <w:spacing w:line="501" w:lineRule="auto"/>
        <w:ind w:left="0"/>
        <w:jc w:val="right"/>
        <w:rPr>
          <w:sz w:val="41"/>
        </w:rPr>
      </w:pPr>
      <w:r w:rsidRPr="00232ABC">
        <w:rPr>
          <w:sz w:val="36"/>
          <w:szCs w:val="36"/>
        </w:rPr>
        <w:t>2026. gada 1. oktobris – 2031. gada 31</w:t>
      </w:r>
      <w:r w:rsidR="009A5F54" w:rsidRPr="00232ABC">
        <w:rPr>
          <w:sz w:val="36"/>
          <w:szCs w:val="36"/>
        </w:rPr>
        <w:t xml:space="preserve">. </w:t>
      </w:r>
      <w:r w:rsidRPr="00232ABC">
        <w:rPr>
          <w:sz w:val="36"/>
          <w:szCs w:val="36"/>
        </w:rPr>
        <w:t>decembris</w:t>
      </w:r>
    </w:p>
    <w:p w14:paraId="63464E0E" w14:textId="6792F2E1" w:rsidR="00D83E2E" w:rsidRPr="00232ABC" w:rsidRDefault="0034484D" w:rsidP="0034484D">
      <w:pPr>
        <w:pStyle w:val="Heading2"/>
        <w:spacing w:line="501" w:lineRule="auto"/>
        <w:ind w:left="0"/>
      </w:pPr>
      <w:r w:rsidRPr="00232ABC">
        <w:rPr>
          <w:spacing w:val="-2"/>
          <w:sz w:val="41"/>
        </w:rPr>
        <w:t xml:space="preserve">                           Darbības joma</w:t>
      </w:r>
      <w:r w:rsidR="009A5F54" w:rsidRPr="00232ABC">
        <w:rPr>
          <w:spacing w:val="-2"/>
          <w:sz w:val="41"/>
        </w:rPr>
        <w:t>s un tvērums</w:t>
      </w:r>
    </w:p>
    <w:p w14:paraId="1B2D60E8" w14:textId="77777777" w:rsidR="00D83E2E" w:rsidRPr="00232ABC" w:rsidRDefault="00000000">
      <w:pPr>
        <w:pStyle w:val="BodyText"/>
        <w:spacing w:before="8"/>
        <w:rPr>
          <w:b/>
          <w:sz w:val="8"/>
        </w:rPr>
      </w:pPr>
      <w:r w:rsidRPr="00232ABC">
        <w:rPr>
          <w:b/>
          <w:noProof/>
          <w:sz w:val="8"/>
        </w:rPr>
        <w:drawing>
          <wp:anchor distT="0" distB="0" distL="0" distR="0" simplePos="0" relativeHeight="251658240" behindDoc="1" locked="0" layoutInCell="1" allowOverlap="1" wp14:anchorId="1C48F10B" wp14:editId="3553F0D0">
            <wp:simplePos x="0" y="0"/>
            <wp:positionH relativeFrom="page">
              <wp:posOffset>4477384</wp:posOffset>
            </wp:positionH>
            <wp:positionV relativeFrom="paragraph">
              <wp:posOffset>78781</wp:posOffset>
            </wp:positionV>
            <wp:extent cx="1723709" cy="2184273"/>
            <wp:effectExtent l="0" t="0" r="0" b="0"/>
            <wp:wrapTopAndBottom/>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723709" cy="2184273"/>
                    </a:xfrm>
                    <a:prstGeom prst="rect">
                      <a:avLst/>
                    </a:prstGeom>
                  </pic:spPr>
                </pic:pic>
              </a:graphicData>
            </a:graphic>
          </wp:anchor>
        </w:drawing>
      </w:r>
    </w:p>
    <w:p w14:paraId="208BF12E" w14:textId="77777777" w:rsidR="008879F4" w:rsidRDefault="008879F4" w:rsidP="008879F4">
      <w:pPr>
        <w:pStyle w:val="BodyText"/>
        <w:spacing w:line="249" w:lineRule="auto"/>
      </w:pPr>
    </w:p>
    <w:p w14:paraId="1E19AC12" w14:textId="150DA2A9" w:rsidR="008879F4" w:rsidRPr="008879F4" w:rsidRDefault="008879F4" w:rsidP="008879F4">
      <w:pPr>
        <w:rPr>
          <w:sz w:val="20"/>
          <w:szCs w:val="20"/>
        </w:rPr>
      </w:pPr>
      <w:r w:rsidRPr="008879F4">
        <w:rPr>
          <w:sz w:val="20"/>
          <w:szCs w:val="20"/>
        </w:rPr>
        <w:t>Šis dokuments ir oficiālais nacionālais tulkojums Zaļās Atslēgas starptautisk</w:t>
      </w:r>
      <w:r>
        <w:rPr>
          <w:sz w:val="20"/>
          <w:szCs w:val="20"/>
        </w:rPr>
        <w:t>o</w:t>
      </w:r>
      <w:r w:rsidRPr="008879F4">
        <w:rPr>
          <w:sz w:val="20"/>
          <w:szCs w:val="20"/>
        </w:rPr>
        <w:t xml:space="preserve"> kritērij</w:t>
      </w:r>
      <w:r>
        <w:rPr>
          <w:sz w:val="20"/>
          <w:szCs w:val="20"/>
        </w:rPr>
        <w:t>u</w:t>
      </w:r>
      <w:r w:rsidRPr="008879F4">
        <w:rPr>
          <w:sz w:val="20"/>
          <w:szCs w:val="20"/>
        </w:rPr>
        <w:t xml:space="preserve"> un ieviešanas vadlīnij</w:t>
      </w:r>
      <w:r>
        <w:rPr>
          <w:sz w:val="20"/>
          <w:szCs w:val="20"/>
        </w:rPr>
        <w:t>u dokumentācijai</w:t>
      </w:r>
      <w:r w:rsidRPr="008879F4">
        <w:rPr>
          <w:sz w:val="20"/>
          <w:szCs w:val="20"/>
        </w:rPr>
        <w:t xml:space="preserve"> 2026-2031. gada periodam. Tas ir oficiāli pārbaudīts un apstiprināts, nodrošinot konsekvenci ar publiskoto starptautisko oficiālo versiju. Šaubu vai interpretācijas viedokļu atšķirības gadījumā prevalē formulējumi publiskotajā kritēriju starptautiskajā dokumentācijā angļu valodā.</w:t>
      </w:r>
    </w:p>
    <w:p w14:paraId="315B7EBB" w14:textId="77777777" w:rsidR="008879F4" w:rsidRDefault="008879F4" w:rsidP="008879F4">
      <w:pPr>
        <w:pStyle w:val="BodyText"/>
        <w:spacing w:line="249" w:lineRule="auto"/>
      </w:pPr>
    </w:p>
    <w:p w14:paraId="7D1124F7" w14:textId="7575556F" w:rsidR="00D83E2E" w:rsidRPr="00232ABC" w:rsidRDefault="00000000" w:rsidP="008879F4">
      <w:pPr>
        <w:pStyle w:val="BodyText"/>
        <w:spacing w:line="249" w:lineRule="auto"/>
      </w:pPr>
      <w:r w:rsidRPr="00232ABC">
        <w:t xml:space="preserve">Šajā pielikumā ir izskaidroti noteikumi par </w:t>
      </w:r>
      <w:r w:rsidR="009A5F54" w:rsidRPr="00232ABC">
        <w:t xml:space="preserve">Zaļās Atslēgas </w:t>
      </w:r>
      <w:r w:rsidRPr="00232ABC">
        <w:t xml:space="preserve">sertifikācijas </w:t>
      </w:r>
      <w:r w:rsidR="009A5F54" w:rsidRPr="00232ABC">
        <w:t>ierobežojumiem un sertifikācijas kategoriju aptvērumu</w:t>
      </w:r>
      <w:r w:rsidRPr="00232ABC">
        <w:t>, tostarp par to, kuri pakalpojumi un iekārtas ir iekļauti vai izslēgti</w:t>
      </w:r>
      <w:r w:rsidR="009A5F54" w:rsidRPr="00232ABC">
        <w:t xml:space="preserve"> no sertifikācijas darbības jomas.</w:t>
      </w:r>
      <w:r w:rsidRPr="00232ABC">
        <w:t xml:space="preserve"> Darbības joma attiecas uz visām uzņēmumu kategorijām, kas ir tiesīgas saņemt Zaļās atslēgas sertifikātu, un tā jālasa kopā ar dokumentu, kurā definētas Zaļās atslēgas uzņēmumu kategorijas un atbilstošie piemērojamie kritēriji (pieejams </w:t>
      </w:r>
      <w:r w:rsidRPr="00232ABC">
        <w:rPr>
          <w:color w:val="0000FF"/>
          <w:u w:val="single" w:color="0000FF"/>
        </w:rPr>
        <w:t>šeit</w:t>
      </w:r>
      <w:r w:rsidRPr="00232ABC">
        <w:t>).</w:t>
      </w:r>
    </w:p>
    <w:p w14:paraId="15C4111E" w14:textId="77777777" w:rsidR="00D83E2E" w:rsidRPr="00232ABC" w:rsidRDefault="00D83E2E">
      <w:pPr>
        <w:pStyle w:val="BodyText"/>
        <w:spacing w:before="13"/>
      </w:pPr>
    </w:p>
    <w:p w14:paraId="1DD16944" w14:textId="2852F95A" w:rsidR="00D83E2E" w:rsidRPr="00232ABC" w:rsidRDefault="00000000" w:rsidP="008879F4">
      <w:pPr>
        <w:pStyle w:val="BodyText"/>
        <w:spacing w:line="249" w:lineRule="auto"/>
        <w:ind w:right="142"/>
        <w:jc w:val="both"/>
      </w:pPr>
      <w:r w:rsidRPr="00232ABC">
        <w:rPr>
          <w:spacing w:val="-2"/>
        </w:rPr>
        <w:t xml:space="preserve">Lai noteiktu darbības jomu, pakalpojumi un iekārtas tiek klasificēti kā iekšēji pārvaldīti vai ārēji pārvaldīti, pamatojoties uz </w:t>
      </w:r>
      <w:r w:rsidR="0034484D" w:rsidRPr="00232ABC">
        <w:t>pieteikuma iesniedzēja iestāde</w:t>
      </w:r>
      <w:r w:rsidR="0034484D" w:rsidRPr="00232ABC">
        <w:rPr>
          <w:spacing w:val="-2"/>
        </w:rPr>
        <w:t xml:space="preserve">s īstenoto tiešo objekta </w:t>
      </w:r>
      <w:r w:rsidRPr="00232ABC">
        <w:rPr>
          <w:spacing w:val="-2"/>
        </w:rPr>
        <w:t xml:space="preserve">pārvaldības </w:t>
      </w:r>
      <w:r w:rsidRPr="00232ABC">
        <w:t xml:space="preserve">atbildības </w:t>
      </w:r>
      <w:r w:rsidRPr="00232ABC">
        <w:rPr>
          <w:spacing w:val="-2"/>
        </w:rPr>
        <w:t xml:space="preserve">līmeni </w:t>
      </w:r>
      <w:r w:rsidRPr="00232ABC">
        <w:t xml:space="preserve">un darbības kontroli. Terminu un jēdzienu skaidrojums, kas izmantots Zaļās atslēgas kritērijos, ir pieejams </w:t>
      </w:r>
      <w:r w:rsidRPr="00232ABC">
        <w:rPr>
          <w:color w:val="0000FF"/>
          <w:u w:val="single" w:color="0000FF"/>
        </w:rPr>
        <w:t>šeit.</w:t>
      </w:r>
    </w:p>
    <w:p w14:paraId="05C0267B" w14:textId="77777777" w:rsidR="008879F4" w:rsidRPr="00232ABC" w:rsidRDefault="008879F4">
      <w:pPr>
        <w:pStyle w:val="BodyText"/>
        <w:spacing w:line="249" w:lineRule="auto"/>
        <w:jc w:val="both"/>
        <w:sectPr w:rsidR="008879F4" w:rsidRPr="00232ABC">
          <w:footerReference w:type="default" r:id="rId8"/>
          <w:type w:val="continuous"/>
          <w:pgSz w:w="16840" w:h="11910" w:orient="landscape"/>
          <w:pgMar w:top="1340" w:right="1275" w:bottom="1180" w:left="1275" w:header="0" w:footer="986" w:gutter="0"/>
          <w:pgNumType w:start="1"/>
          <w:cols w:space="708"/>
        </w:sectPr>
      </w:pPr>
    </w:p>
    <w:p w14:paraId="3790E8D1" w14:textId="77777777" w:rsidR="00D83E2E" w:rsidRPr="00232ABC" w:rsidRDefault="00D83E2E">
      <w:pPr>
        <w:pStyle w:val="BodyText"/>
      </w:pPr>
    </w:p>
    <w:p w14:paraId="4D40733D" w14:textId="77777777" w:rsidR="00D83E2E" w:rsidRPr="00232ABC" w:rsidRDefault="00D83E2E">
      <w:pPr>
        <w:pStyle w:val="BodyText"/>
        <w:spacing w:before="99"/>
      </w:pPr>
    </w:p>
    <w:p w14:paraId="3C91D8C8" w14:textId="77777777" w:rsidR="00D83E2E" w:rsidRPr="00232ABC" w:rsidRDefault="00000000">
      <w:pPr>
        <w:pStyle w:val="BodyText"/>
        <w:spacing w:line="249" w:lineRule="auto"/>
        <w:ind w:left="140"/>
      </w:pPr>
      <w:r w:rsidRPr="00232ABC">
        <w:t xml:space="preserve">Pakalpojumi un iekārtas tiek uzskatīti par iekšēji pārvaldītiem, ja tos nodrošina tā pati juridiskā persona, kas ir pieteikuma iesniedzēja iestāde, </w:t>
      </w:r>
      <w:r w:rsidRPr="00232ABC">
        <w:rPr>
          <w:b/>
          <w:u w:val="single"/>
        </w:rPr>
        <w:t xml:space="preserve">vai </w:t>
      </w:r>
      <w:r w:rsidRPr="00232ABC">
        <w:t>ja tos nodrošina trešā persona saskaņā ar līgumu, kurā iestāde saglabā darbības un pārvaldības kontroli, tostarp lēmumu pieņemšanas pilnvaras attiecībā uz politiku, procedūrām un ilgtspējīgas attīstības praksi.</w:t>
      </w:r>
    </w:p>
    <w:p w14:paraId="42364088" w14:textId="77777777" w:rsidR="00D83E2E" w:rsidRPr="00232ABC" w:rsidRDefault="00D83E2E">
      <w:pPr>
        <w:pStyle w:val="BodyText"/>
        <w:spacing w:before="12"/>
      </w:pPr>
    </w:p>
    <w:p w14:paraId="36566D03" w14:textId="1234BDC0" w:rsidR="00D83E2E" w:rsidRPr="00232ABC" w:rsidRDefault="00000000">
      <w:pPr>
        <w:pStyle w:val="BodyText"/>
        <w:spacing w:line="249" w:lineRule="auto"/>
        <w:ind w:left="140" w:right="410"/>
        <w:jc w:val="both"/>
      </w:pPr>
      <w:r w:rsidRPr="00232ABC">
        <w:t xml:space="preserve">Pakalpojumi un iekārtas tiek uzskatīti par ārēji pārvaldītiem, ja tie pieder un tos pārvalda atsevišķa juridiska persona, un pieteikuma iesniedzējs neuzņemas atbildību par ikdienas darbību, personāla komplektēšanu, politiku vai ilgtspējības praksi. Ārēji pārvaldīti pakalpojumi neietilpst pieteikuma iesniedzēja </w:t>
      </w:r>
      <w:r w:rsidR="009A5F54" w:rsidRPr="00232ABC">
        <w:t>Zaļās Atslēga</w:t>
      </w:r>
      <w:r w:rsidR="0034484D" w:rsidRPr="00232ABC">
        <w:t>s</w:t>
      </w:r>
      <w:r w:rsidR="009A5F54" w:rsidRPr="00232ABC">
        <w:t xml:space="preserve"> programmas</w:t>
      </w:r>
      <w:r w:rsidRPr="00232ABC">
        <w:t xml:space="preserve"> sertifikā</w:t>
      </w:r>
      <w:r w:rsidR="009A5F54" w:rsidRPr="00232ABC">
        <w:t>cijas</w:t>
      </w:r>
      <w:r w:rsidRPr="00232ABC">
        <w:t xml:space="preserve"> darbības jom</w:t>
      </w:r>
      <w:r w:rsidR="009A5F54" w:rsidRPr="00232ABC">
        <w:t>as tvērumā</w:t>
      </w:r>
      <w:r w:rsidRPr="00232ABC">
        <w:t>, ja vien kritēriju katalogā vai šajā dokumentā nav skaidri norādīts citādi.</w:t>
      </w:r>
    </w:p>
    <w:p w14:paraId="2CA0CA22" w14:textId="77777777" w:rsidR="00D83E2E" w:rsidRPr="00232ABC" w:rsidRDefault="00D83E2E">
      <w:pPr>
        <w:pStyle w:val="BodyText"/>
        <w:spacing w:before="13"/>
      </w:pPr>
    </w:p>
    <w:p w14:paraId="2F773D1D" w14:textId="035A10B8" w:rsidR="00D83E2E" w:rsidRPr="00232ABC" w:rsidRDefault="00000000">
      <w:pPr>
        <w:pStyle w:val="Heading3"/>
        <w:jc w:val="both"/>
      </w:pPr>
      <w:r w:rsidRPr="00232ABC">
        <w:rPr>
          <w:w w:val="90"/>
        </w:rPr>
        <w:t xml:space="preserve">Sertifikācijas </w:t>
      </w:r>
      <w:r w:rsidRPr="00232ABC">
        <w:rPr>
          <w:spacing w:val="-4"/>
          <w:w w:val="90"/>
        </w:rPr>
        <w:t xml:space="preserve">darbības </w:t>
      </w:r>
      <w:r w:rsidRPr="00232ABC">
        <w:rPr>
          <w:w w:val="90"/>
        </w:rPr>
        <w:t>jomā</w:t>
      </w:r>
      <w:r w:rsidR="009A5F54" w:rsidRPr="00232ABC">
        <w:rPr>
          <w:w w:val="90"/>
        </w:rPr>
        <w:t xml:space="preserve"> un tvērumā</w:t>
      </w:r>
      <w:r w:rsidRPr="00232ABC">
        <w:rPr>
          <w:w w:val="90"/>
        </w:rPr>
        <w:t xml:space="preserve"> iekļautās darbības un pakalpojumi</w:t>
      </w:r>
    </w:p>
    <w:p w14:paraId="0C70554F" w14:textId="77777777" w:rsidR="00D83E2E" w:rsidRPr="00232ABC" w:rsidRDefault="00D83E2E">
      <w:pPr>
        <w:pStyle w:val="BodyText"/>
        <w:spacing w:before="19"/>
        <w:rPr>
          <w:b/>
        </w:rPr>
      </w:pPr>
    </w:p>
    <w:p w14:paraId="4C856E06" w14:textId="7F49B7DC" w:rsidR="00D83E2E" w:rsidRPr="00232ABC" w:rsidRDefault="00000000">
      <w:pPr>
        <w:pStyle w:val="BodyText"/>
        <w:spacing w:before="1" w:line="249" w:lineRule="auto"/>
        <w:ind w:left="140" w:right="144"/>
        <w:jc w:val="both"/>
      </w:pPr>
      <w:r w:rsidRPr="00232ABC">
        <w:t xml:space="preserve">Ja pieteikuma iesniedzēja iestāde tos pārvalda iekšēji, </w:t>
      </w:r>
      <w:r w:rsidR="009A5F54" w:rsidRPr="00232ABC">
        <w:t>Zaļās Atslēga</w:t>
      </w:r>
      <w:r w:rsidRPr="00232ABC">
        <w:t xml:space="preserve"> sertifikācijā ietilpst šādi pakalpojumi: ēdināšanas un dzērienu pakalpojumi; naktsmītnes; konferenču telpas, piemēram, auditorijas, lekciju zāles un/vai sanāksmju/konferenču telpas; izstāžu telpas (ja piemērojams, piemēram, </w:t>
      </w:r>
      <w:r w:rsidRPr="00232ABC">
        <w:rPr>
          <w:spacing w:val="-2"/>
        </w:rPr>
        <w:t>muzejiem/atrakcijām).</w:t>
      </w:r>
    </w:p>
    <w:p w14:paraId="35DAAA1B" w14:textId="77777777" w:rsidR="00D83E2E" w:rsidRPr="00232ABC" w:rsidRDefault="00D83E2E">
      <w:pPr>
        <w:pStyle w:val="BodyText"/>
        <w:spacing w:before="12"/>
      </w:pPr>
    </w:p>
    <w:p w14:paraId="20BCA40E" w14:textId="0C66F5B2" w:rsidR="00D83E2E" w:rsidRPr="00232ABC" w:rsidRDefault="00000000">
      <w:pPr>
        <w:pStyle w:val="BodyText"/>
        <w:spacing w:line="249" w:lineRule="auto"/>
        <w:ind w:left="140" w:right="142"/>
        <w:jc w:val="both"/>
      </w:pPr>
      <w:r w:rsidRPr="00232ABC">
        <w:t xml:space="preserve">Ja pakalpojumi un iekārtas tiek pārvaldīti iekšēji, </w:t>
      </w:r>
      <w:r w:rsidR="009A5F54" w:rsidRPr="00232ABC">
        <w:t>Zaļās Atslēgas programma</w:t>
      </w:r>
      <w:r w:rsidRPr="00232ABC">
        <w:t xml:space="preserve"> nesertificē pašu darbību. Tā vietā iestādei ir jāatbilst </w:t>
      </w:r>
      <w:r w:rsidR="0034484D" w:rsidRPr="00232ABC">
        <w:t>Zaļās Atslēgas</w:t>
      </w:r>
      <w:r w:rsidRPr="00232ABC">
        <w:t xml:space="preserve"> kritēriju katalogā noteiktajiem piemērojamajiem kritērijiem</w:t>
      </w:r>
      <w:r w:rsidR="009A5F54" w:rsidRPr="00232ABC">
        <w:t xml:space="preserve"> kā piemēram</w:t>
      </w:r>
      <w:r w:rsidRPr="00232ABC">
        <w:t>: spa/sauna/veselības zona; veikali (suvenīri, kioski, frizieri, tūrisma informācija, apmeklētāju/interpretācijas centri utt.); bērnu klubs; sanāksmes un pasākumi; veļas mazgātava/veļas automāt</w:t>
      </w:r>
      <w:r w:rsidR="009A5F54" w:rsidRPr="00232ABC">
        <w:t>i</w:t>
      </w:r>
      <w:r w:rsidRPr="00232ABC">
        <w:t xml:space="preserve">; sporta zāles; naktsklubi/koncertzāles; iekštelpas un āra </w:t>
      </w:r>
      <w:r w:rsidR="009A5F54" w:rsidRPr="00232ABC">
        <w:t>teritorijas</w:t>
      </w:r>
      <w:r w:rsidRPr="00232ABC">
        <w:t xml:space="preserve"> ar dzīvniekiem; transportlīdzekļi (piemēram, lidostas autobusi); iekštelpu un āra sporta objekti (piemēram, boulinga zāle); botāniskais dārzs/dārzs; siltumnīca; iekštelpu un āra peldbaseins.</w:t>
      </w:r>
    </w:p>
    <w:p w14:paraId="7FEE632E" w14:textId="77777777" w:rsidR="00D83E2E" w:rsidRPr="00232ABC" w:rsidRDefault="00D83E2E">
      <w:pPr>
        <w:pStyle w:val="BodyText"/>
        <w:spacing w:before="14"/>
      </w:pPr>
    </w:p>
    <w:p w14:paraId="775FE174" w14:textId="661F4B3D" w:rsidR="00D83E2E" w:rsidRPr="00232ABC" w:rsidRDefault="00000000">
      <w:pPr>
        <w:pStyle w:val="BodyText"/>
        <w:spacing w:before="1" w:line="249" w:lineRule="auto"/>
        <w:ind w:left="140" w:right="139"/>
        <w:jc w:val="both"/>
      </w:pPr>
      <w:r w:rsidRPr="00232ABC">
        <w:t xml:space="preserve">Ja kāds no šiem pakalpojumiem vai iekārtām tiek pārvaldīts ārēji, šo darbību </w:t>
      </w:r>
      <w:r w:rsidR="009A5F54" w:rsidRPr="00232ABC">
        <w:t xml:space="preserve">īstenojošā uzņēmuma vadība </w:t>
      </w:r>
      <w:r w:rsidRPr="00232ABC">
        <w:t xml:space="preserve">ir jārosina saskaņot </w:t>
      </w:r>
      <w:r w:rsidR="009A5F54" w:rsidRPr="00232ABC">
        <w:t xml:space="preserve">savas aktivitātes </w:t>
      </w:r>
      <w:r w:rsidRPr="00232ABC">
        <w:t xml:space="preserve">ar </w:t>
      </w:r>
      <w:r w:rsidR="009A5F54" w:rsidRPr="00232ABC">
        <w:t>Zaļās Atslēgas kritērijos noteiktajiem</w:t>
      </w:r>
      <w:r w:rsidRPr="00232ABC">
        <w:t xml:space="preserve"> ilgtspējas standartiem. Tomēr, ja kāds ārēji pārvaldīts ēdināšanas pakalpojums veido būtisku daļu no uzņēmuma piedāvājuma, uz to attiecas </w:t>
      </w:r>
      <w:r w:rsidR="009A5F54" w:rsidRPr="00232ABC">
        <w:t>Zaļās Atslēgas</w:t>
      </w:r>
      <w:r w:rsidRPr="00232ABC">
        <w:t xml:space="preserve"> kritēriju katalogā noteiktie piemērojamie kritēriji. Piemēram, ja brokastis ir galvenā daļa no naktsmītnes piedāvājuma vai pusdienas ir galvenā daļa no konferences piedāvājuma, restorānam, kurā tiek piedāvāti šie pakalpojumi, ir jāatbilst kritēriju katalogā noteiktajiem piemērojamiem restorānu kritērijiem (atzīmēti ar R).</w:t>
      </w:r>
    </w:p>
    <w:p w14:paraId="3459282F" w14:textId="77777777" w:rsidR="00D83E2E" w:rsidRPr="00232ABC" w:rsidRDefault="00D83E2E">
      <w:pPr>
        <w:pStyle w:val="BodyText"/>
        <w:spacing w:before="13"/>
      </w:pPr>
    </w:p>
    <w:p w14:paraId="5B677574" w14:textId="1EE8621D" w:rsidR="00D83E2E" w:rsidRPr="00232ABC" w:rsidRDefault="00000000">
      <w:pPr>
        <w:pStyle w:val="BodyText"/>
        <w:spacing w:line="249" w:lineRule="auto"/>
        <w:ind w:left="140" w:right="141"/>
        <w:jc w:val="both"/>
      </w:pPr>
      <w:r w:rsidRPr="00232ABC">
        <w:t xml:space="preserve">Ja uzņēmums piedāvā aktivitātes, kas ietilpst citā </w:t>
      </w:r>
      <w:r w:rsidR="009A5F54" w:rsidRPr="00232ABC">
        <w:t>Zaļās Atslēgas</w:t>
      </w:r>
      <w:r w:rsidRPr="00232ABC">
        <w:t xml:space="preserve"> kategorijā, visām iekšēji pārvaldītajām aktivitātēm tiek piemēroti visi papildu kritēriji no otras kategorijas kā daļa no tās pašas sertifikācijas</w:t>
      </w:r>
      <w:r w:rsidR="009A5F54" w:rsidRPr="00232ABC">
        <w:t xml:space="preserve"> pieteikuma</w:t>
      </w:r>
      <w:r w:rsidRPr="00232ABC">
        <w:t xml:space="preserve">. Iekšēji pārvaldīti pakalpojumi vai iekārtas ir tādi, kurus pārvalda tā pati iestāde, kas ir pieteikuma iesniedzējs, vai kuri darbojas </w:t>
      </w:r>
      <w:r w:rsidR="0034484D" w:rsidRPr="00232ABC">
        <w:t>atbilstoši</w:t>
      </w:r>
      <w:r w:rsidRPr="00232ABC">
        <w:t xml:space="preserve"> līgum</w:t>
      </w:r>
      <w:r w:rsidR="0034484D" w:rsidRPr="00232ABC">
        <w:t>am</w:t>
      </w:r>
      <w:r w:rsidRPr="00232ABC">
        <w:t xml:space="preserve">, kurā pieteikuma iesniedzēja iestāde saglabā kontroli pār pakalpojumu (piemēram, ārpakalpojumu restorāns saskaņā ar līgumu). </w:t>
      </w:r>
      <w:r w:rsidR="00F2396C" w:rsidRPr="00232ABC">
        <w:t>Citiem ā</w:t>
      </w:r>
      <w:r w:rsidRPr="00232ABC">
        <w:t>rēji pārvaldītiem pakalpojumiem ir nepieciešama atsevišķa sertifikācija.</w:t>
      </w:r>
      <w:r w:rsidRPr="00232ABC">
        <w:rPr>
          <w:spacing w:val="-14"/>
        </w:rPr>
        <w:t xml:space="preserve"> </w:t>
      </w:r>
      <w:r w:rsidRPr="00232ABC">
        <w:t xml:space="preserve">Ārēji pārvaldīti pakalpojumi ir tādi, kas pieder un/vai ko nodrošina pilnīgi atsevišķa iestāde, un </w:t>
      </w:r>
      <w:r w:rsidR="00F2396C" w:rsidRPr="00232ABC">
        <w:t xml:space="preserve">pieteicēja </w:t>
      </w:r>
      <w:r w:rsidRPr="00232ABC">
        <w:t>iestāde neveic līgumisko vai pārvaldības uzraudzību.</w:t>
      </w:r>
    </w:p>
    <w:p w14:paraId="2B11CFF0" w14:textId="77777777" w:rsidR="00D83E2E" w:rsidRPr="00232ABC" w:rsidRDefault="00D83E2E">
      <w:pPr>
        <w:pStyle w:val="BodyText"/>
        <w:spacing w:before="14"/>
      </w:pPr>
    </w:p>
    <w:p w14:paraId="2122E34A" w14:textId="5CA76F82" w:rsidR="00D83E2E" w:rsidRPr="00232ABC" w:rsidRDefault="00000000" w:rsidP="00F2396C">
      <w:pPr>
        <w:pStyle w:val="BodyText"/>
        <w:spacing w:before="1"/>
        <w:ind w:left="140"/>
        <w:jc w:val="both"/>
        <w:sectPr w:rsidR="00D83E2E" w:rsidRPr="00232ABC">
          <w:pgSz w:w="16840" w:h="11910" w:orient="landscape"/>
          <w:pgMar w:top="1340" w:right="1275" w:bottom="1180" w:left="1275" w:header="0" w:footer="986" w:gutter="0"/>
          <w:cols w:space="708"/>
        </w:sectPr>
      </w:pPr>
      <w:r w:rsidRPr="00232ABC">
        <w:rPr>
          <w:b/>
        </w:rPr>
        <w:t xml:space="preserve">Piezīme: </w:t>
      </w:r>
      <w:r w:rsidRPr="00232ABC">
        <w:t>Iepriekš minētais saraksts nav izsmeļošs</w:t>
      </w:r>
      <w:r w:rsidR="00F2396C" w:rsidRPr="00232ABC">
        <w:t xml:space="preserve"> un visaptverošs</w:t>
      </w:r>
      <w:r w:rsidRPr="00232ABC">
        <w:t xml:space="preserve">. Papildu pakalpojumi un aktivitātes var tikt </w:t>
      </w:r>
      <w:r w:rsidR="00F2396C" w:rsidRPr="00232ABC">
        <w:t>iekļauti sertifikācijas tvērumā atbilstoši</w:t>
      </w:r>
      <w:r w:rsidRPr="00232ABC">
        <w:t xml:space="preserve"> </w:t>
      </w:r>
      <w:r w:rsidR="00F2396C" w:rsidRPr="00232ABC">
        <w:t>Zaļās Atslēgas</w:t>
      </w:r>
      <w:r w:rsidRPr="00232ABC">
        <w:rPr>
          <w:spacing w:val="-4"/>
        </w:rPr>
        <w:t xml:space="preserve"> </w:t>
      </w:r>
      <w:r w:rsidR="00F2396C" w:rsidRPr="00232ABC">
        <w:t>sākotnējās</w:t>
      </w:r>
      <w:r w:rsidRPr="00232ABC">
        <w:t xml:space="preserve"> pārbaudes</w:t>
      </w:r>
      <w:r w:rsidR="00F2396C" w:rsidRPr="00232ABC">
        <w:rPr>
          <w:spacing w:val="-4"/>
        </w:rPr>
        <w:t xml:space="preserve"> </w:t>
      </w:r>
      <w:r w:rsidR="00F2396C" w:rsidRPr="00232ABC">
        <w:t>secinājumiem.</w:t>
      </w:r>
    </w:p>
    <w:p w14:paraId="527647CD" w14:textId="1C015185" w:rsidR="00D83E2E" w:rsidRPr="00232ABC" w:rsidRDefault="00000000">
      <w:pPr>
        <w:pStyle w:val="Heading3"/>
        <w:spacing w:before="79"/>
      </w:pPr>
      <w:r w:rsidRPr="00232ABC">
        <w:rPr>
          <w:w w:val="90"/>
        </w:rPr>
        <w:lastRenderedPageBreak/>
        <w:t xml:space="preserve">Darbības un pakalpojumi, kas nav iekļauti sertifikācijas </w:t>
      </w:r>
      <w:r w:rsidR="00F2396C" w:rsidRPr="00232ABC">
        <w:rPr>
          <w:spacing w:val="-2"/>
          <w:w w:val="90"/>
        </w:rPr>
        <w:t>darbības jomā un tvērumā</w:t>
      </w:r>
    </w:p>
    <w:p w14:paraId="1EAD6CF9" w14:textId="77777777" w:rsidR="00D83E2E" w:rsidRPr="00232ABC" w:rsidRDefault="00D83E2E">
      <w:pPr>
        <w:pStyle w:val="BodyText"/>
        <w:spacing w:before="20"/>
        <w:rPr>
          <w:b/>
        </w:rPr>
      </w:pPr>
    </w:p>
    <w:p w14:paraId="7E3A5CB4" w14:textId="75214469" w:rsidR="00D83E2E" w:rsidRPr="00232ABC" w:rsidRDefault="00000000">
      <w:pPr>
        <w:pStyle w:val="BodyText"/>
        <w:ind w:left="140"/>
      </w:pPr>
      <w:r w:rsidRPr="00232ABC">
        <w:t xml:space="preserve">Šādas aktivitātes/iekārtas neietilpst </w:t>
      </w:r>
      <w:r w:rsidR="00F2396C" w:rsidRPr="00232ABC">
        <w:t>Zaļās Atslēgas</w:t>
      </w:r>
      <w:r w:rsidRPr="00232ABC">
        <w:t xml:space="preserve"> </w:t>
      </w:r>
      <w:r w:rsidRPr="00232ABC">
        <w:rPr>
          <w:spacing w:val="-2"/>
        </w:rPr>
        <w:t xml:space="preserve">sertifikācijas </w:t>
      </w:r>
      <w:r w:rsidRPr="00232ABC">
        <w:t>darbības jomā</w:t>
      </w:r>
      <w:r w:rsidR="00F2396C" w:rsidRPr="00232ABC">
        <w:t>s un tvērumā</w:t>
      </w:r>
      <w:r w:rsidRPr="00232ABC">
        <w:rPr>
          <w:spacing w:val="-2"/>
        </w:rPr>
        <w:t>:</w:t>
      </w:r>
    </w:p>
    <w:p w14:paraId="200353D6" w14:textId="77777777" w:rsidR="00D83E2E" w:rsidRPr="00232ABC" w:rsidRDefault="00D83E2E">
      <w:pPr>
        <w:pStyle w:val="BodyText"/>
        <w:spacing w:before="22"/>
      </w:pPr>
    </w:p>
    <w:p w14:paraId="3AB4088B" w14:textId="31EC83E3" w:rsidR="00D83E2E" w:rsidRPr="00232ABC" w:rsidRDefault="00000000">
      <w:pPr>
        <w:pStyle w:val="ListParagraph"/>
        <w:numPr>
          <w:ilvl w:val="0"/>
          <w:numId w:val="1"/>
        </w:numPr>
        <w:tabs>
          <w:tab w:val="left" w:pos="861"/>
        </w:tabs>
        <w:spacing w:line="247" w:lineRule="auto"/>
        <w:ind w:right="323"/>
        <w:rPr>
          <w:sz w:val="20"/>
        </w:rPr>
      </w:pPr>
      <w:r w:rsidRPr="00232ABC">
        <w:rPr>
          <w:sz w:val="20"/>
        </w:rPr>
        <w:t xml:space="preserve">Iekštelpu vīna, alkohola un pārtikas ražošanas iekārtas (ieskaitot vīna laukus, vīna dārzus un citas augu izcelsmes lauksaimniecības ražošanas platības): </w:t>
      </w:r>
      <w:r w:rsidR="00F2396C" w:rsidRPr="00232ABC">
        <w:rPr>
          <w:sz w:val="20"/>
        </w:rPr>
        <w:t>l</w:t>
      </w:r>
      <w:r w:rsidRPr="00232ABC">
        <w:rPr>
          <w:sz w:val="20"/>
        </w:rPr>
        <w:t xml:space="preserve">iela mēroga lauksaimniecības ražošana, ieskaitot vīna dārzus, netiek uzskatīta par </w:t>
      </w:r>
      <w:r w:rsidR="00F2396C" w:rsidRPr="00232ABC">
        <w:rPr>
          <w:sz w:val="20"/>
        </w:rPr>
        <w:t>Zaļās Atslēgas</w:t>
      </w:r>
      <w:r w:rsidRPr="00232ABC">
        <w:rPr>
          <w:sz w:val="20"/>
        </w:rPr>
        <w:t xml:space="preserve"> auditoru pamatkompetenci</w:t>
      </w:r>
      <w:r w:rsidR="00F2396C" w:rsidRPr="00232ABC">
        <w:rPr>
          <w:sz w:val="20"/>
        </w:rPr>
        <w:t xml:space="preserve"> un atbildību</w:t>
      </w:r>
      <w:r w:rsidRPr="00232ABC">
        <w:rPr>
          <w:sz w:val="20"/>
        </w:rPr>
        <w:t xml:space="preserve">. Šajās </w:t>
      </w:r>
      <w:r w:rsidR="00F2396C" w:rsidRPr="00232ABC">
        <w:rPr>
          <w:sz w:val="20"/>
        </w:rPr>
        <w:t xml:space="preserve">darbības </w:t>
      </w:r>
      <w:r w:rsidRPr="00232ABC">
        <w:rPr>
          <w:sz w:val="20"/>
        </w:rPr>
        <w:t xml:space="preserve">jomās bieži vien </w:t>
      </w:r>
      <w:r w:rsidR="00F2396C" w:rsidRPr="00232ABC">
        <w:rPr>
          <w:sz w:val="20"/>
        </w:rPr>
        <w:t xml:space="preserve">ir </w:t>
      </w:r>
      <w:r w:rsidRPr="00232ABC">
        <w:rPr>
          <w:sz w:val="20"/>
        </w:rPr>
        <w:t>nepieciešamas ekspertu zināšanas par ilgtspējīgu lauksaimniecību un apsaimniekošanas praks</w:t>
      </w:r>
      <w:r w:rsidR="00F2396C" w:rsidRPr="00232ABC">
        <w:rPr>
          <w:sz w:val="20"/>
        </w:rPr>
        <w:t>ēm</w:t>
      </w:r>
      <w:r w:rsidRPr="00232ABC">
        <w:rPr>
          <w:sz w:val="20"/>
        </w:rPr>
        <w:t xml:space="preserve">, kas tiek aptvertas ar lauksaimniecības vai bioloģiskās sertifikācijas sistēmām. Šā iemesla dēļ </w:t>
      </w:r>
      <w:r w:rsidR="00F2396C" w:rsidRPr="00232ABC">
        <w:rPr>
          <w:sz w:val="20"/>
        </w:rPr>
        <w:t>Zaļās Atslēgas</w:t>
      </w:r>
      <w:r w:rsidRPr="00232ABC">
        <w:rPr>
          <w:sz w:val="20"/>
        </w:rPr>
        <w:t xml:space="preserve"> sertifikācija neattiecas uz ražošanas </w:t>
      </w:r>
      <w:r w:rsidR="00F2396C" w:rsidRPr="00232ABC">
        <w:rPr>
          <w:sz w:val="20"/>
        </w:rPr>
        <w:t>platībām</w:t>
      </w:r>
      <w:r w:rsidR="00473404" w:rsidRPr="00232ABC">
        <w:rPr>
          <w:sz w:val="20"/>
        </w:rPr>
        <w:t xml:space="preserve"> un telpām</w:t>
      </w:r>
      <w:r w:rsidRPr="00232ABC">
        <w:rPr>
          <w:sz w:val="20"/>
        </w:rPr>
        <w:t>.</w:t>
      </w:r>
      <w:r w:rsidRPr="00232ABC">
        <w:rPr>
          <w:spacing w:val="-2"/>
          <w:sz w:val="20"/>
        </w:rPr>
        <w:t xml:space="preserve"> </w:t>
      </w:r>
      <w:r w:rsidRPr="00232ABC">
        <w:rPr>
          <w:sz w:val="20"/>
        </w:rPr>
        <w:t xml:space="preserve">Mazapjoma ražošana ir definēta kā ražošana, kas apkalpo tikai uzņēmuma iekšējās vajadzības (piemēram, garšaugu dārzs, ko izmanto viesnīcas bārs). Tomēr, tiklīdz kāda daļa no ražojumiem tiek pārdota ārpus uzņēmuma, tā tiek uzskatīta par lielapjoma ražošanu un tādējādi neietilpst </w:t>
      </w:r>
      <w:r w:rsidR="00F2396C" w:rsidRPr="00232ABC">
        <w:rPr>
          <w:sz w:val="20"/>
        </w:rPr>
        <w:t>Zaļās Atslēgas</w:t>
      </w:r>
      <w:r w:rsidRPr="00232ABC">
        <w:rPr>
          <w:sz w:val="20"/>
        </w:rPr>
        <w:t xml:space="preserve"> sertifikācijas darbības jomā</w:t>
      </w:r>
      <w:r w:rsidR="00F2396C" w:rsidRPr="00232ABC">
        <w:rPr>
          <w:sz w:val="20"/>
        </w:rPr>
        <w:t xml:space="preserve"> un tvērumā</w:t>
      </w:r>
      <w:r w:rsidRPr="00232ABC">
        <w:rPr>
          <w:sz w:val="20"/>
        </w:rPr>
        <w:t>.</w:t>
      </w:r>
    </w:p>
    <w:p w14:paraId="27B88122" w14:textId="77777777" w:rsidR="00D83E2E" w:rsidRPr="00232ABC" w:rsidRDefault="00D83E2E">
      <w:pPr>
        <w:pStyle w:val="BodyText"/>
        <w:spacing w:before="17"/>
      </w:pPr>
    </w:p>
    <w:p w14:paraId="6C3EB783" w14:textId="1304B486" w:rsidR="00D83E2E" w:rsidRPr="00232ABC" w:rsidRDefault="00000000">
      <w:pPr>
        <w:pStyle w:val="ListParagraph"/>
        <w:numPr>
          <w:ilvl w:val="0"/>
          <w:numId w:val="1"/>
        </w:numPr>
        <w:tabs>
          <w:tab w:val="left" w:pos="861"/>
        </w:tabs>
        <w:spacing w:line="244" w:lineRule="auto"/>
        <w:ind w:right="695"/>
        <w:rPr>
          <w:sz w:val="20"/>
        </w:rPr>
      </w:pPr>
      <w:r w:rsidRPr="00232ABC">
        <w:rPr>
          <w:sz w:val="20"/>
        </w:rPr>
        <w:t xml:space="preserve">Pludmales/jahtu piestātnes: </w:t>
      </w:r>
      <w:r w:rsidR="00F2396C" w:rsidRPr="00232ABC">
        <w:rPr>
          <w:sz w:val="20"/>
        </w:rPr>
        <w:t>j</w:t>
      </w:r>
      <w:r w:rsidRPr="00232ABC">
        <w:rPr>
          <w:sz w:val="20"/>
        </w:rPr>
        <w:t xml:space="preserve">ahtu piestātņu darbība bieži vien tiek regulēta ar atsevišķiem pārvaldības un darbības modeļiem, un to visbiežāk regulē specializētas sertifikācijas programmas, piemēram, Zilais </w:t>
      </w:r>
      <w:r w:rsidR="00473404" w:rsidRPr="00232ABC">
        <w:rPr>
          <w:sz w:val="20"/>
        </w:rPr>
        <w:t>K</w:t>
      </w:r>
      <w:r w:rsidRPr="00232ABC">
        <w:rPr>
          <w:sz w:val="20"/>
        </w:rPr>
        <w:t xml:space="preserve">arogs. Zaļā atslēga uzskata, ka tās neietilpst </w:t>
      </w:r>
      <w:r w:rsidR="00F2396C" w:rsidRPr="00232ABC">
        <w:rPr>
          <w:sz w:val="20"/>
        </w:rPr>
        <w:t xml:space="preserve">programmas </w:t>
      </w:r>
      <w:r w:rsidRPr="00232ABC">
        <w:rPr>
          <w:sz w:val="20"/>
        </w:rPr>
        <w:t xml:space="preserve">pašreizējā darbības jomā, un iesaka, ka </w:t>
      </w:r>
      <w:r w:rsidR="00F2396C" w:rsidRPr="00232ABC">
        <w:rPr>
          <w:sz w:val="20"/>
        </w:rPr>
        <w:t xml:space="preserve">piemērotāka šīm darbībām ir </w:t>
      </w:r>
      <w:r w:rsidRPr="00232ABC">
        <w:rPr>
          <w:sz w:val="20"/>
        </w:rPr>
        <w:t xml:space="preserve">atsevišķa sertifikācija (piemēram, Zilais </w:t>
      </w:r>
      <w:r w:rsidR="00473404" w:rsidRPr="00232ABC">
        <w:rPr>
          <w:sz w:val="20"/>
        </w:rPr>
        <w:t>K</w:t>
      </w:r>
      <w:r w:rsidRPr="00232ABC">
        <w:rPr>
          <w:sz w:val="20"/>
        </w:rPr>
        <w:t>arogs)</w:t>
      </w:r>
      <w:r w:rsidR="00F2396C" w:rsidRPr="00232ABC">
        <w:rPr>
          <w:sz w:val="20"/>
        </w:rPr>
        <w:t>.</w:t>
      </w:r>
    </w:p>
    <w:p w14:paraId="3D130557" w14:textId="77777777" w:rsidR="00D83E2E" w:rsidRPr="00232ABC" w:rsidRDefault="00D83E2E">
      <w:pPr>
        <w:pStyle w:val="BodyText"/>
        <w:spacing w:before="17"/>
      </w:pPr>
    </w:p>
    <w:p w14:paraId="1DC0B1E6" w14:textId="163FFC9B" w:rsidR="00D83E2E" w:rsidRPr="00232ABC" w:rsidRDefault="00000000">
      <w:pPr>
        <w:pStyle w:val="ListParagraph"/>
        <w:numPr>
          <w:ilvl w:val="0"/>
          <w:numId w:val="1"/>
        </w:numPr>
        <w:tabs>
          <w:tab w:val="left" w:pos="861"/>
        </w:tabs>
        <w:spacing w:line="244" w:lineRule="auto"/>
        <w:ind w:right="286"/>
        <w:rPr>
          <w:sz w:val="20"/>
        </w:rPr>
      </w:pPr>
      <w:r w:rsidRPr="00232ABC">
        <w:rPr>
          <w:sz w:val="20"/>
        </w:rPr>
        <w:t xml:space="preserve">Golfa laukumi: </w:t>
      </w:r>
      <w:r w:rsidR="00F2396C" w:rsidRPr="00232ABC">
        <w:rPr>
          <w:sz w:val="20"/>
        </w:rPr>
        <w:t>g</w:t>
      </w:r>
      <w:r w:rsidRPr="00232ABC">
        <w:rPr>
          <w:sz w:val="20"/>
        </w:rPr>
        <w:t xml:space="preserve">olfa laukumi ir </w:t>
      </w:r>
      <w:r w:rsidR="00F2396C" w:rsidRPr="00232ABC">
        <w:rPr>
          <w:sz w:val="20"/>
        </w:rPr>
        <w:t>nozīmīgi</w:t>
      </w:r>
      <w:r w:rsidRPr="00232ABC">
        <w:rPr>
          <w:sz w:val="20"/>
        </w:rPr>
        <w:t xml:space="preserve"> atpūtas objekti, kas saistīti ar sarežģītiem vides apsvērumiem, tostarp ūdens izmantošanu, bioloģisko daudzveidību un zemes apsaimniekošanu. </w:t>
      </w:r>
      <w:r w:rsidR="00F2396C" w:rsidRPr="00232ABC">
        <w:rPr>
          <w:sz w:val="20"/>
        </w:rPr>
        <w:t>Zaļā Atslēga</w:t>
      </w:r>
      <w:r w:rsidRPr="00232ABC">
        <w:rPr>
          <w:sz w:val="20"/>
        </w:rPr>
        <w:t xml:space="preserve"> neiekļauj golfa laukumus savā darbības jomā, jo </w:t>
      </w:r>
      <w:r w:rsidR="00F2396C" w:rsidRPr="00232ABC">
        <w:rPr>
          <w:sz w:val="20"/>
        </w:rPr>
        <w:t xml:space="preserve">programmai </w:t>
      </w:r>
      <w:r w:rsidRPr="00232ABC">
        <w:rPr>
          <w:sz w:val="20"/>
        </w:rPr>
        <w:t xml:space="preserve">trūkst specializētu zināšanu šajā jomā un ir pieejamas citas sertifikācijas programmas, kas ir piemērotākas golfa laukumu </w:t>
      </w:r>
      <w:r w:rsidR="00F2396C" w:rsidRPr="00232ABC">
        <w:rPr>
          <w:sz w:val="20"/>
        </w:rPr>
        <w:t xml:space="preserve">ilgtspējīgas </w:t>
      </w:r>
      <w:r w:rsidRPr="00232ABC">
        <w:rPr>
          <w:sz w:val="20"/>
        </w:rPr>
        <w:t>darbības novērtēšanai.</w:t>
      </w:r>
    </w:p>
    <w:p w14:paraId="04758F7D" w14:textId="77777777" w:rsidR="00D83E2E" w:rsidRPr="00232ABC" w:rsidRDefault="00D83E2E">
      <w:pPr>
        <w:pStyle w:val="BodyText"/>
        <w:spacing w:before="16"/>
      </w:pPr>
    </w:p>
    <w:p w14:paraId="2D0E541A" w14:textId="1989C1A3" w:rsidR="00D83E2E" w:rsidRPr="00232ABC" w:rsidRDefault="00F2396C">
      <w:pPr>
        <w:pStyle w:val="ListParagraph"/>
        <w:numPr>
          <w:ilvl w:val="0"/>
          <w:numId w:val="1"/>
        </w:numPr>
        <w:tabs>
          <w:tab w:val="left" w:pos="861"/>
        </w:tabs>
        <w:rPr>
          <w:sz w:val="20"/>
        </w:rPr>
      </w:pPr>
      <w:r w:rsidRPr="00232ABC">
        <w:rPr>
          <w:sz w:val="20"/>
        </w:rPr>
        <w:t>Slēpošanas trases: ņemot vērā ievērojamo ietekmi uz vidi, kas saistīta ar slēpošanas pacēlājiem un trasēm, tostarp zemes lietošanas veidu izmaiņām, enerģijas patēriņu un ietekmi uz bioloģisko daudzveidību, Zaļā Atslēga nesertificē šādas iekārtas/aktivitātes.</w:t>
      </w:r>
    </w:p>
    <w:p w14:paraId="19BD2AEF" w14:textId="77777777" w:rsidR="00D83E2E" w:rsidRPr="00232ABC" w:rsidRDefault="00D83E2E">
      <w:pPr>
        <w:pStyle w:val="BodyText"/>
        <w:spacing w:before="19"/>
      </w:pPr>
    </w:p>
    <w:p w14:paraId="0924E33A" w14:textId="368E30A7" w:rsidR="00D83E2E" w:rsidRPr="00232ABC" w:rsidRDefault="00000000">
      <w:pPr>
        <w:pStyle w:val="ListParagraph"/>
        <w:numPr>
          <w:ilvl w:val="0"/>
          <w:numId w:val="1"/>
        </w:numPr>
        <w:tabs>
          <w:tab w:val="left" w:pos="861"/>
        </w:tabs>
        <w:spacing w:line="244" w:lineRule="auto"/>
        <w:ind w:right="183"/>
        <w:rPr>
          <w:sz w:val="20"/>
        </w:rPr>
      </w:pPr>
      <w:r w:rsidRPr="00232ABC">
        <w:rPr>
          <w:sz w:val="20"/>
        </w:rPr>
        <w:t>Mež</w:t>
      </w:r>
      <w:r w:rsidR="00F2396C" w:rsidRPr="00232ABC">
        <w:rPr>
          <w:sz w:val="20"/>
        </w:rPr>
        <w:t>u teritorijas:</w:t>
      </w:r>
      <w:r w:rsidRPr="00232ABC">
        <w:rPr>
          <w:sz w:val="20"/>
        </w:rPr>
        <w:t xml:space="preserve"> </w:t>
      </w:r>
      <w:r w:rsidR="00F2396C" w:rsidRPr="00232ABC">
        <w:rPr>
          <w:sz w:val="20"/>
        </w:rPr>
        <w:t xml:space="preserve">šīs </w:t>
      </w:r>
      <w:r w:rsidRPr="00232ABC">
        <w:rPr>
          <w:sz w:val="20"/>
        </w:rPr>
        <w:t xml:space="preserve">teritorijas neietilpst </w:t>
      </w:r>
      <w:r w:rsidR="00F2396C" w:rsidRPr="00232ABC">
        <w:rPr>
          <w:sz w:val="20"/>
        </w:rPr>
        <w:t>Zaļās Atslēgas</w:t>
      </w:r>
      <w:r w:rsidRPr="00232ABC">
        <w:rPr>
          <w:sz w:val="20"/>
        </w:rPr>
        <w:t xml:space="preserve"> auditoru tehniskās kompetences jomā, un tās jau ir iekļautas specializētās ilgtspējības un mežsaimniecības sertifikācijās (piemēram, FSC, PEFC). Mežu teritoriju sertifikācijai nepieciešamas zināšanas mežu ekoloģijā, aizsardzībā un zemes apsaimniekošanā, kas nav </w:t>
      </w:r>
      <w:r w:rsidR="00F2396C" w:rsidRPr="00232ABC">
        <w:rPr>
          <w:sz w:val="20"/>
        </w:rPr>
        <w:t>Zaļās Atslēgas darbības jomas</w:t>
      </w:r>
      <w:r w:rsidRPr="00232ABC">
        <w:rPr>
          <w:sz w:val="20"/>
        </w:rPr>
        <w:t xml:space="preserve"> pamatkompetences daļa.</w:t>
      </w:r>
    </w:p>
    <w:p w14:paraId="672DD7B9" w14:textId="77777777" w:rsidR="00D83E2E" w:rsidRPr="00232ABC" w:rsidRDefault="00D83E2E">
      <w:pPr>
        <w:pStyle w:val="BodyText"/>
        <w:spacing w:before="17"/>
      </w:pPr>
    </w:p>
    <w:p w14:paraId="64B9C220" w14:textId="62715BB9" w:rsidR="00D83E2E" w:rsidRPr="00232ABC" w:rsidRDefault="00000000">
      <w:pPr>
        <w:pStyle w:val="ListParagraph"/>
        <w:numPr>
          <w:ilvl w:val="0"/>
          <w:numId w:val="1"/>
        </w:numPr>
        <w:tabs>
          <w:tab w:val="left" w:pos="861"/>
        </w:tabs>
        <w:spacing w:line="247" w:lineRule="auto"/>
        <w:ind w:right="321"/>
        <w:rPr>
          <w:sz w:val="20"/>
        </w:rPr>
      </w:pPr>
      <w:r w:rsidRPr="00232ABC">
        <w:rPr>
          <w:sz w:val="20"/>
        </w:rPr>
        <w:t>Pastaigu takas un citas ārpus iestādes teritorij</w:t>
      </w:r>
      <w:r w:rsidR="00F2396C" w:rsidRPr="00232ABC">
        <w:rPr>
          <w:sz w:val="20"/>
        </w:rPr>
        <w:t>ām</w:t>
      </w:r>
      <w:r w:rsidRPr="00232ABC">
        <w:rPr>
          <w:sz w:val="20"/>
        </w:rPr>
        <w:t xml:space="preserve"> </w:t>
      </w:r>
      <w:r w:rsidR="00F2396C" w:rsidRPr="00232ABC">
        <w:rPr>
          <w:sz w:val="20"/>
        </w:rPr>
        <w:t>īstenotās</w:t>
      </w:r>
      <w:r w:rsidRPr="00232ABC">
        <w:rPr>
          <w:sz w:val="20"/>
        </w:rPr>
        <w:t xml:space="preserve"> aktivitātes: Zaļās </w:t>
      </w:r>
      <w:r w:rsidR="00F2396C" w:rsidRPr="00232ABC">
        <w:rPr>
          <w:sz w:val="20"/>
        </w:rPr>
        <w:t>A</w:t>
      </w:r>
      <w:r w:rsidRPr="00232ABC">
        <w:rPr>
          <w:sz w:val="20"/>
        </w:rPr>
        <w:t xml:space="preserve">tslēgas sertifikācija ir paredzēta, lai novērtētu un sertificētu aktivitātes un pakalpojumus, kas atrodas pieteikuma iesniedzēja iestādes fiziskajās robežās. Ārpus iestādes teritorijas </w:t>
      </w:r>
      <w:r w:rsidR="002F3E01" w:rsidRPr="00232ABC">
        <w:rPr>
          <w:sz w:val="20"/>
        </w:rPr>
        <w:t xml:space="preserve">īstenotās </w:t>
      </w:r>
      <w:r w:rsidRPr="00232ABC">
        <w:rPr>
          <w:sz w:val="20"/>
        </w:rPr>
        <w:t xml:space="preserve">aktivitātes un pastaigu takas neietilpst </w:t>
      </w:r>
      <w:r w:rsidR="002F3E01" w:rsidRPr="00232ABC">
        <w:rPr>
          <w:sz w:val="20"/>
        </w:rPr>
        <w:t>programmas kompetencē</w:t>
      </w:r>
      <w:r w:rsidRPr="00232ABC">
        <w:rPr>
          <w:sz w:val="20"/>
        </w:rPr>
        <w:t xml:space="preserve">, jo tās bieži vien saistītas ar zemi vai pakalpojumiem, kurus iestāde nepārvalda tieši, ierobežojot iespēju uzraudzīt un pārbaudīt atbilstību Zaļās </w:t>
      </w:r>
      <w:r w:rsidR="002F3E01" w:rsidRPr="00232ABC">
        <w:rPr>
          <w:sz w:val="20"/>
        </w:rPr>
        <w:t>A</w:t>
      </w:r>
      <w:r w:rsidRPr="00232ABC">
        <w:rPr>
          <w:sz w:val="20"/>
        </w:rPr>
        <w:t xml:space="preserve">tslēgas </w:t>
      </w:r>
      <w:r w:rsidRPr="00232ABC">
        <w:rPr>
          <w:spacing w:val="-2"/>
          <w:sz w:val="20"/>
        </w:rPr>
        <w:t>kritērijiem.</w:t>
      </w:r>
    </w:p>
    <w:p w14:paraId="4559315F" w14:textId="77777777" w:rsidR="00D83E2E" w:rsidRPr="00232ABC" w:rsidRDefault="00D83E2E">
      <w:pPr>
        <w:pStyle w:val="BodyText"/>
        <w:spacing w:before="10"/>
      </w:pPr>
    </w:p>
    <w:p w14:paraId="09C7EAFF" w14:textId="67C45055" w:rsidR="00D83E2E" w:rsidRPr="00232ABC" w:rsidRDefault="002F3E01">
      <w:pPr>
        <w:pStyle w:val="ListParagraph"/>
        <w:numPr>
          <w:ilvl w:val="0"/>
          <w:numId w:val="1"/>
        </w:numPr>
        <w:tabs>
          <w:tab w:val="left" w:pos="861"/>
        </w:tabs>
        <w:spacing w:before="1" w:line="244" w:lineRule="auto"/>
        <w:ind w:right="484"/>
        <w:rPr>
          <w:sz w:val="20"/>
        </w:rPr>
      </w:pPr>
      <w:r w:rsidRPr="00232ABC">
        <w:rPr>
          <w:sz w:val="20"/>
        </w:rPr>
        <w:t>Darbinieku izmitināšanas pakalpojumi nav daļa no regulārā viesu uzņemšanas piedāvājuma un tādēļ neietilpst Zaļās atslēgas kritēriju sertifikācijas jomā. Ja izmitināšana netiek izīrēta vai piedāvāta arī viesiem, tā tiek izslēgta no Zaļās atslēgas novērtējuma. Tomēr jebkādi pakalpojumi, iekārtas vai nodrošinājumi, kas darbiniekiem ir pieejami darba laikā citviet īpašumā, tiek iekļauti Zaļās atslēgas novērtējuma jomā.</w:t>
      </w:r>
    </w:p>
    <w:p w14:paraId="558EF82D" w14:textId="77777777" w:rsidR="00D83E2E" w:rsidRPr="00232ABC" w:rsidRDefault="00D83E2E">
      <w:pPr>
        <w:pStyle w:val="BodyText"/>
        <w:spacing w:before="55"/>
      </w:pPr>
    </w:p>
    <w:p w14:paraId="68D3B162" w14:textId="2D3AE16C" w:rsidR="00D83E2E" w:rsidRDefault="00000000">
      <w:pPr>
        <w:pStyle w:val="BodyText"/>
        <w:ind w:left="501"/>
      </w:pPr>
      <w:r w:rsidRPr="00232ABC">
        <w:t xml:space="preserve">Ja izslēgtais pakalpojums vai iekārta veido vairāk nekā 50 % no uzņēmuma darbības, uzņēmums nav tiesīgs saņemt </w:t>
      </w:r>
      <w:r w:rsidR="002F3E01" w:rsidRPr="00232ABC">
        <w:t>Zaļās Atslēgas</w:t>
      </w:r>
      <w:r w:rsidRPr="00232ABC">
        <w:rPr>
          <w:spacing w:val="-4"/>
        </w:rPr>
        <w:t xml:space="preserve"> sertifikā</w:t>
      </w:r>
      <w:r w:rsidR="00473404" w:rsidRPr="00232ABC">
        <w:rPr>
          <w:spacing w:val="-4"/>
        </w:rPr>
        <w:t>ciju</w:t>
      </w:r>
      <w:r w:rsidRPr="00232ABC">
        <w:rPr>
          <w:spacing w:val="-4"/>
        </w:rPr>
        <w:t>.</w:t>
      </w:r>
    </w:p>
    <w:sectPr w:rsidR="00D83E2E">
      <w:pgSz w:w="16840" w:h="11910" w:orient="landscape"/>
      <w:pgMar w:top="1340" w:right="1275" w:bottom="1180" w:left="1275" w:header="0" w:footer="98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F4EFB" w14:textId="77777777" w:rsidR="00CD40EE" w:rsidRDefault="00CD40EE">
      <w:r>
        <w:separator/>
      </w:r>
    </w:p>
  </w:endnote>
  <w:endnote w:type="continuationSeparator" w:id="0">
    <w:p w14:paraId="075E8CFE" w14:textId="77777777" w:rsidR="00CD40EE" w:rsidRDefault="00CD4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75550" w14:textId="77777777" w:rsidR="00D83E2E" w:rsidRDefault="00000000">
    <w:pPr>
      <w:pStyle w:val="BodyText"/>
      <w:spacing w:line="14" w:lineRule="auto"/>
    </w:pPr>
    <w:r>
      <w:rPr>
        <w:noProof/>
      </w:rPr>
      <mc:AlternateContent>
        <mc:Choice Requires="wps">
          <w:drawing>
            <wp:anchor distT="0" distB="0" distL="0" distR="0" simplePos="0" relativeHeight="251659264" behindDoc="1" locked="0" layoutInCell="1" allowOverlap="1" wp14:anchorId="4720D391" wp14:editId="51613392">
              <wp:simplePos x="0" y="0"/>
              <wp:positionH relativeFrom="page">
                <wp:posOffset>9681718</wp:posOffset>
              </wp:positionH>
              <wp:positionV relativeFrom="page">
                <wp:posOffset>6794824</wp:posOffset>
              </wp:positionV>
              <wp:extent cx="162560" cy="177800"/>
              <wp:effectExtent l="0" t="0" r="0" b="0"/>
              <wp:wrapNone/>
              <wp:docPr id="1" name="Textbox 1"/>
              <wp:cNvGraphicFramePr/>
              <a:graphic xmlns:a="http://schemas.openxmlformats.org/drawingml/2006/main">
                <a:graphicData uri="http://schemas.microsoft.com/office/word/2010/wordprocessingShape">
                  <wps:wsp>
                    <wps:cNvSpPr txBox="1"/>
                    <wps:spPr>
                      <a:xfrm>
                        <a:off x="0" y="0"/>
                        <a:ext cx="162560" cy="177800"/>
                      </a:xfrm>
                      <a:prstGeom prst="rect">
                        <a:avLst/>
                      </a:prstGeom>
                    </wps:spPr>
                    <wps:txbx>
                      <w:txbxContent>
                        <w:p w14:paraId="19045656" w14:textId="77777777" w:rsidR="00D83E2E" w:rsidRDefault="00000000">
                          <w:pPr>
                            <w:pStyle w:val="BodyText"/>
                            <w:spacing w:before="29"/>
                            <w:ind w:left="60"/>
                          </w:pPr>
                          <w:r>
                            <w:rPr>
                              <w:spacing w:val="-10"/>
                              <w:w w:val="105"/>
                            </w:rPr>
                            <w:fldChar w:fldCharType="begin"/>
                          </w:r>
                          <w:r>
                            <w:rPr>
                              <w:spacing w:val="-10"/>
                              <w:w w:val="105"/>
                            </w:rPr>
                            <w:instrText xml:space="preserve"> PAGE </w:instrText>
                          </w:r>
                          <w:r>
                            <w:rPr>
                              <w:spacing w:val="-10"/>
                              <w:w w:val="105"/>
                            </w:rPr>
                            <w:fldChar w:fldCharType="separate"/>
                          </w:r>
                          <w:r>
                            <w:rPr>
                              <w:spacing w:val="-10"/>
                              <w:w w:val="105"/>
                              <w:sz w:val="21"/>
                            </w:rPr>
                            <w:t>3</w:t>
                          </w:r>
                          <w:r>
                            <w:rPr>
                              <w:spacing w:val="-10"/>
                              <w:w w:val="105"/>
                            </w:rPr>
                            <w:fldChar w:fldCharType="end"/>
                          </w:r>
                        </w:p>
                      </w:txbxContent>
                    </wps:txbx>
                    <wps:bodyPr wrap="square" lIns="0" tIns="0" rIns="0" bIns="0" rtlCol="0"/>
                  </wps:wsp>
                </a:graphicData>
              </a:graphic>
            </wp:anchor>
          </w:drawing>
        </mc:Choice>
        <mc:Fallback>
          <w:pict>
            <v:shapetype w14:anchorId="4720D391" id="_x0000_t202" coordsize="21600,21600" o:spt="202" path="m,l,21600r21600,l21600,xe">
              <v:stroke joinstyle="miter"/>
              <v:path gradientshapeok="t" o:connecttype="rect"/>
            </v:shapetype>
            <v:shape id="Textbox 1" o:spid="_x0000_s1026" type="#_x0000_t202" style="position:absolute;margin-left:762.35pt;margin-top:535.05pt;width:12.8pt;height:14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" filled="f" stroked="f">
              <v:textbox inset="0,0,0,0">
                <w:txbxContent>
                  <w:p w14:paraId="19045656" w14:textId="77777777" w:rsidR="00D83E2E" w:rsidRDefault="00000000">
                    <w:pPr>
                      <w:pStyle w:val="BodyText"/>
                      <w:spacing w:before="29"/>
                      <w:ind w:left="60"/>
                    </w:pPr>
                    <w:r>
                      <w:rPr>
                        <w:spacing w:val="-10"/>
                        <w:w w:val="105"/>
                      </w:rPr>
                      <w:fldChar w:fldCharType="begin"/>
                    </w:r>
                    <w:r>
                      <w:rPr>
                        <w:spacing w:val="-10"/>
                        <w:w w:val="105"/>
                      </w:rPr>
                      <w:instrText xml:space="preserve"> PAGE </w:instrText>
                    </w:r>
                    <w:r>
                      <w:rPr>
                        <w:spacing w:val="-10"/>
                        <w:w w:val="105"/>
                      </w:rPr>
                      <w:fldChar w:fldCharType="separate"/>
                    </w:r>
                    <w:r>
                      <w:rPr>
                        <w:spacing w:val="-10"/>
                        <w:w w:val="105"/>
                        <w:sz w:val="21"/>
                      </w:rPr>
                      <w:t>3</w:t>
                    </w:r>
                    <w:r>
                      <w:rPr>
                        <w:spacing w:val="-10"/>
                        <w:w w:val="10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C0562" w14:textId="77777777" w:rsidR="00CD40EE" w:rsidRDefault="00CD40EE">
      <w:r>
        <w:separator/>
      </w:r>
    </w:p>
  </w:footnote>
  <w:footnote w:type="continuationSeparator" w:id="0">
    <w:p w14:paraId="40D75596" w14:textId="77777777" w:rsidR="00CD40EE" w:rsidRDefault="00CD40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8DEEDE"/>
    <w:multiLevelType w:val="hybridMultilevel"/>
    <w:tmpl w:val="00000000"/>
    <w:lvl w:ilvl="0" w:tplc="88FCB1E6">
      <w:numFmt w:val="bullet"/>
      <w:lvlText w:val="•"/>
      <w:lvlJc w:val="left"/>
      <w:pPr>
        <w:ind w:left="861" w:hanging="360"/>
      </w:pPr>
      <w:rPr>
        <w:rFonts w:ascii="Calibri" w:eastAsia="Calibri" w:hAnsi="Calibri" w:cs="Calibri" w:hint="default"/>
        <w:b w:val="0"/>
        <w:bCs w:val="0"/>
        <w:i w:val="0"/>
        <w:iCs w:val="0"/>
        <w:spacing w:val="0"/>
        <w:w w:val="91"/>
        <w:sz w:val="20"/>
        <w:szCs w:val="20"/>
        <w:lang w:val="en-US" w:eastAsia="en-US" w:bidi="ar-SA"/>
      </w:rPr>
    </w:lvl>
    <w:lvl w:ilvl="1" w:tplc="66A42EBC">
      <w:numFmt w:val="bullet"/>
      <w:lvlText w:val="•"/>
      <w:lvlJc w:val="left"/>
      <w:pPr>
        <w:ind w:left="2202" w:hanging="360"/>
      </w:pPr>
      <w:rPr>
        <w:rFonts w:hint="default"/>
        <w:lang w:val="en-US" w:eastAsia="en-US" w:bidi="ar-SA"/>
      </w:rPr>
    </w:lvl>
    <w:lvl w:ilvl="2" w:tplc="3AB49D92">
      <w:numFmt w:val="bullet"/>
      <w:lvlText w:val="•"/>
      <w:lvlJc w:val="left"/>
      <w:pPr>
        <w:ind w:left="3545" w:hanging="360"/>
      </w:pPr>
      <w:rPr>
        <w:rFonts w:hint="default"/>
        <w:lang w:val="en-US" w:eastAsia="en-US" w:bidi="ar-SA"/>
      </w:rPr>
    </w:lvl>
    <w:lvl w:ilvl="3" w:tplc="68B6A5FC">
      <w:numFmt w:val="bullet"/>
      <w:lvlText w:val="•"/>
      <w:lvlJc w:val="left"/>
      <w:pPr>
        <w:ind w:left="4888" w:hanging="360"/>
      </w:pPr>
      <w:rPr>
        <w:rFonts w:hint="default"/>
        <w:lang w:val="en-US" w:eastAsia="en-US" w:bidi="ar-SA"/>
      </w:rPr>
    </w:lvl>
    <w:lvl w:ilvl="4" w:tplc="68B0C18A">
      <w:numFmt w:val="bullet"/>
      <w:lvlText w:val="•"/>
      <w:lvlJc w:val="left"/>
      <w:pPr>
        <w:ind w:left="6231" w:hanging="360"/>
      </w:pPr>
      <w:rPr>
        <w:rFonts w:hint="default"/>
        <w:lang w:val="en-US" w:eastAsia="en-US" w:bidi="ar-SA"/>
      </w:rPr>
    </w:lvl>
    <w:lvl w:ilvl="5" w:tplc="7F346754">
      <w:numFmt w:val="bullet"/>
      <w:lvlText w:val="•"/>
      <w:lvlJc w:val="left"/>
      <w:pPr>
        <w:ind w:left="7574" w:hanging="360"/>
      </w:pPr>
      <w:rPr>
        <w:rFonts w:hint="default"/>
        <w:lang w:val="en-US" w:eastAsia="en-US" w:bidi="ar-SA"/>
      </w:rPr>
    </w:lvl>
    <w:lvl w:ilvl="6" w:tplc="6972D16C">
      <w:numFmt w:val="bullet"/>
      <w:lvlText w:val="•"/>
      <w:lvlJc w:val="left"/>
      <w:pPr>
        <w:ind w:left="8917" w:hanging="360"/>
      </w:pPr>
      <w:rPr>
        <w:rFonts w:hint="default"/>
        <w:lang w:val="en-US" w:eastAsia="en-US" w:bidi="ar-SA"/>
      </w:rPr>
    </w:lvl>
    <w:lvl w:ilvl="7" w:tplc="B4E4138E">
      <w:numFmt w:val="bullet"/>
      <w:lvlText w:val="•"/>
      <w:lvlJc w:val="left"/>
      <w:pPr>
        <w:ind w:left="10259" w:hanging="360"/>
      </w:pPr>
      <w:rPr>
        <w:rFonts w:hint="default"/>
        <w:lang w:val="en-US" w:eastAsia="en-US" w:bidi="ar-SA"/>
      </w:rPr>
    </w:lvl>
    <w:lvl w:ilvl="8" w:tplc="84622EB2">
      <w:numFmt w:val="bullet"/>
      <w:lvlText w:val="•"/>
      <w:lvlJc w:val="left"/>
      <w:pPr>
        <w:ind w:left="11602" w:hanging="360"/>
      </w:pPr>
      <w:rPr>
        <w:rFonts w:hint="default"/>
        <w:lang w:val="en-US" w:eastAsia="en-US" w:bidi="ar-SA"/>
      </w:rPr>
    </w:lvl>
  </w:abstractNum>
  <w:num w:numId="1" w16cid:durableId="1474830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2E"/>
    <w:rsid w:val="001203CF"/>
    <w:rsid w:val="00135379"/>
    <w:rsid w:val="001B2858"/>
    <w:rsid w:val="00232026"/>
    <w:rsid w:val="00232ABC"/>
    <w:rsid w:val="002F3E01"/>
    <w:rsid w:val="0034484D"/>
    <w:rsid w:val="003A395C"/>
    <w:rsid w:val="003E7CD9"/>
    <w:rsid w:val="004206D7"/>
    <w:rsid w:val="00435143"/>
    <w:rsid w:val="004550F7"/>
    <w:rsid w:val="00473404"/>
    <w:rsid w:val="004A091C"/>
    <w:rsid w:val="0053470A"/>
    <w:rsid w:val="00542589"/>
    <w:rsid w:val="0054277F"/>
    <w:rsid w:val="005A3300"/>
    <w:rsid w:val="006C63DB"/>
    <w:rsid w:val="007F5BC5"/>
    <w:rsid w:val="008879F4"/>
    <w:rsid w:val="0091197A"/>
    <w:rsid w:val="009A5F54"/>
    <w:rsid w:val="00B5464D"/>
    <w:rsid w:val="00C637EF"/>
    <w:rsid w:val="00C86BAC"/>
    <w:rsid w:val="00CD40EE"/>
    <w:rsid w:val="00D73B33"/>
    <w:rsid w:val="00D83E2E"/>
    <w:rsid w:val="00EE0556"/>
    <w:rsid w:val="00EE5476"/>
    <w:rsid w:val="00F2396C"/>
  </w:rsids>
  <m:mathPr>
    <m:mathFont m:val="Cambria Math"/>
    <m:brkBin m:val="before"/>
    <m:brkBinSub m:val="--"/>
    <m:smallFrac m:val="0"/>
    <m:dispDef/>
    <m:lMargin m:val="0"/>
    <m:rMargin m:val="0"/>
    <m:defJc m:val="centerGroup"/>
    <m:wrapIndent m:val="1440"/>
    <m:intLim m:val="subSup"/>
    <m:naryLim m:val="undOvr"/>
  </m:mathPr>
  <w:themeFontLang w:val="en-LV"/>
  <w:clrSchemeMapping w:bg1="light1" w:t1="dark1" w:bg2="light2" w:t2="dark2" w:accent1="accent1" w:accent2="accent2" w:accent3="accent3" w:accent4="accent4" w:accent5="accent5" w:accent6="accent6" w:hyperlink="hyperlink" w:followedHyperlink="followedHyperlink"/>
  <w:decimalSymbol w:val=","/>
  <w:listSeparator w:val=","/>
  <w14:docId w14:val="19754A21"/>
  <w15:docId w15:val="{134898DB-1979-4046-834A-44C3ABC78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
      <w:ind w:left="2"/>
      <w:jc w:val="center"/>
      <w:outlineLvl w:val="0"/>
    </w:pPr>
    <w:rPr>
      <w:b/>
      <w:bCs/>
      <w:sz w:val="52"/>
      <w:szCs w:val="52"/>
    </w:rPr>
  </w:style>
  <w:style w:type="paragraph" w:styleId="Heading2">
    <w:name w:val="heading 2"/>
    <w:basedOn w:val="Normal"/>
    <w:uiPriority w:val="1"/>
    <w:qFormat/>
    <w:pPr>
      <w:spacing w:before="18"/>
      <w:ind w:left="3237" w:right="3236"/>
      <w:jc w:val="center"/>
      <w:outlineLvl w:val="1"/>
    </w:pPr>
    <w:rPr>
      <w:b/>
      <w:bCs/>
      <w:sz w:val="40"/>
      <w:szCs w:val="40"/>
    </w:rPr>
  </w:style>
  <w:style w:type="paragraph" w:styleId="Heading3">
    <w:name w:val="heading 3"/>
    <w:basedOn w:val="Normal"/>
    <w:uiPriority w:val="1"/>
    <w:qFormat/>
    <w:pPr>
      <w:spacing w:before="1"/>
      <w:ind w:left="14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61" w:right="158"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32026"/>
    <w:rPr>
      <w:sz w:val="16"/>
      <w:szCs w:val="16"/>
    </w:rPr>
  </w:style>
  <w:style w:type="paragraph" w:styleId="CommentText">
    <w:name w:val="annotation text"/>
    <w:basedOn w:val="Normal"/>
    <w:link w:val="CommentTextChar"/>
    <w:uiPriority w:val="99"/>
    <w:semiHidden/>
    <w:unhideWhenUsed/>
    <w:rsid w:val="00232026"/>
    <w:rPr>
      <w:sz w:val="20"/>
      <w:szCs w:val="20"/>
    </w:rPr>
  </w:style>
  <w:style w:type="character" w:customStyle="1" w:styleId="CommentTextChar">
    <w:name w:val="Comment Text Char"/>
    <w:basedOn w:val="DefaultParagraphFont"/>
    <w:link w:val="CommentText"/>
    <w:uiPriority w:val="99"/>
    <w:semiHidden/>
    <w:rsid w:val="0023202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32026"/>
    <w:rPr>
      <w:b/>
      <w:bCs/>
    </w:rPr>
  </w:style>
  <w:style w:type="character" w:customStyle="1" w:styleId="CommentSubjectChar">
    <w:name w:val="Comment Subject Char"/>
    <w:basedOn w:val="CommentTextChar"/>
    <w:link w:val="CommentSubject"/>
    <w:uiPriority w:val="99"/>
    <w:semiHidden/>
    <w:rsid w:val="00232026"/>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1266</Words>
  <Characters>7220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THE GREEN KEY</vt:lpstr>
    </vt:vector>
  </TitlesOfParts>
  <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GREEN KEY</dc:title>
  <dc:creator>Ouwerkerk Projecten</dc:creator>
  <cp:keywords>, docId:27CE8D53B61BCDA622E1CEA3D3A58CA0</cp:keywords>
  <cp:lastModifiedBy>Ilze Grēvele</cp:lastModifiedBy>
  <cp:revision>2</cp:revision>
  <dcterms:created xsi:type="dcterms:W3CDTF">2026-03-31T07:36:00Z</dcterms:created>
  <dcterms:modified xsi:type="dcterms:W3CDTF">2026-03-31T07:36:00Z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2026-02-13T00:00:00Z</vt:filetime>
  </property>
  <property fmtid="{D5CDD505-2E9C-101B-9397-08002B2CF9AE}" pid="3" name="Creator">
    <vt:lpwstr>Microsoft® Word for Microsoft 365</vt:lpwstr>
  </property>
  <property fmtid="{D5CDD505-2E9C-101B-9397-08002B2CF9AE}" pid="4" name="LastSaved">
    <vt:filetime>2026-03-11T00:00:00Z</vt:filetime>
  </property>
  <property fmtid="{D5CDD505-2E9C-101B-9397-08002B2CF9AE}" pid="5" name="Producer">
    <vt:lpwstr>Microsoft® Word for Microsoft 365</vt:lpwstr>
  </property>
</Properties>
</file>